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51D3" w:rsidRDefault="003A51D3" w:rsidP="003A51D3">
      <w:pPr>
        <w:rPr>
          <w:rFonts w:ascii="Times New Roman" w:hAnsi="Times New Roman" w:cs="Times New Roman"/>
          <w:color w:val="auto"/>
          <w:sz w:val="2"/>
          <w:szCs w:val="2"/>
        </w:rPr>
      </w:pPr>
    </w:p>
    <w:tbl>
      <w:tblPr>
        <w:tblW w:w="11009" w:type="dxa"/>
        <w:tblInd w:w="5" w:type="dxa"/>
        <w:tblLayout w:type="fixed"/>
        <w:tblCellMar>
          <w:left w:w="0" w:type="dxa"/>
          <w:right w:w="0" w:type="dxa"/>
        </w:tblCellMar>
        <w:tblLook w:val="0000" w:firstRow="0" w:lastRow="0" w:firstColumn="0" w:lastColumn="0" w:noHBand="0" w:noVBand="0"/>
      </w:tblPr>
      <w:tblGrid>
        <w:gridCol w:w="397"/>
        <w:gridCol w:w="817"/>
        <w:gridCol w:w="817"/>
        <w:gridCol w:w="816"/>
        <w:gridCol w:w="1225"/>
        <w:gridCol w:w="408"/>
        <w:gridCol w:w="408"/>
        <w:gridCol w:w="408"/>
        <w:gridCol w:w="816"/>
        <w:gridCol w:w="816"/>
        <w:gridCol w:w="816"/>
        <w:gridCol w:w="408"/>
        <w:gridCol w:w="816"/>
        <w:gridCol w:w="408"/>
        <w:gridCol w:w="1633"/>
      </w:tblGrid>
      <w:tr w:rsidR="003A51D3" w:rsidTr="000A6EEF">
        <w:tblPrEx>
          <w:tblCellMar>
            <w:top w:w="0" w:type="dxa"/>
            <w:bottom w:w="0" w:type="dxa"/>
          </w:tblCellMar>
        </w:tblPrEx>
        <w:trPr>
          <w:trHeight w:hRule="exact" w:val="170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113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540" w:lineRule="exact"/>
              <w:ind w:left="20"/>
              <w:jc w:val="center"/>
              <w:rPr>
                <w:rFonts w:ascii="微软雅黑" w:eastAsia="微软雅黑" w:hAnsi="Times New Roman" w:cs="微软雅黑"/>
                <w:sz w:val="40"/>
                <w:szCs w:val="40"/>
              </w:rPr>
            </w:pPr>
            <w:r>
              <w:rPr>
                <w:rFonts w:ascii="微软雅黑" w:eastAsia="微软雅黑" w:hAnsi="Times New Roman" w:cs="微软雅黑" w:hint="eastAsia"/>
                <w:sz w:val="40"/>
                <w:szCs w:val="40"/>
              </w:rPr>
              <w:t>“惠盈利</w:t>
            </w:r>
            <w:r>
              <w:rPr>
                <w:rFonts w:ascii="微软雅黑" w:eastAsia="微软雅黑" w:hAnsi="Times New Roman" w:cs="微软雅黑"/>
                <w:sz w:val="40"/>
                <w:szCs w:val="40"/>
              </w:rPr>
              <w:t>1</w:t>
            </w:r>
            <w:r>
              <w:rPr>
                <w:rFonts w:ascii="微软雅黑" w:eastAsia="微软雅黑" w:hAnsi="Times New Roman" w:cs="微软雅黑" w:hint="eastAsia"/>
                <w:sz w:val="40"/>
                <w:szCs w:val="40"/>
              </w:rPr>
              <w:t>号”周期型开放式净值型人民币理财产品</w:t>
            </w:r>
          </w:p>
        </w:tc>
      </w:tr>
      <w:tr w:rsidR="003A51D3" w:rsidTr="000A6EEF">
        <w:tblPrEx>
          <w:tblCellMar>
            <w:top w:w="0" w:type="dxa"/>
            <w:bottom w:w="0" w:type="dxa"/>
          </w:tblCellMar>
        </w:tblPrEx>
        <w:trPr>
          <w:trHeight w:hRule="exact" w:val="113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540" w:lineRule="exact"/>
              <w:ind w:left="20"/>
              <w:jc w:val="center"/>
              <w:rPr>
                <w:rFonts w:ascii="微软雅黑" w:eastAsia="微软雅黑" w:hAnsi="Times New Roman" w:cs="微软雅黑"/>
                <w:sz w:val="40"/>
                <w:szCs w:val="40"/>
              </w:rPr>
            </w:pPr>
            <w:r>
              <w:rPr>
                <w:rFonts w:ascii="微软雅黑" w:eastAsia="微软雅黑" w:hAnsi="Times New Roman" w:cs="微软雅黑"/>
                <w:sz w:val="40"/>
                <w:szCs w:val="40"/>
              </w:rPr>
              <w:t>2024</w:t>
            </w:r>
            <w:r>
              <w:rPr>
                <w:rFonts w:ascii="微软雅黑" w:eastAsia="微软雅黑" w:hAnsi="Times New Roman" w:cs="微软雅黑" w:hint="eastAsia"/>
                <w:sz w:val="40"/>
                <w:szCs w:val="40"/>
              </w:rPr>
              <w:t>年年度报告</w:t>
            </w:r>
          </w:p>
        </w:tc>
      </w:tr>
      <w:tr w:rsidR="003A51D3" w:rsidTr="000A6EEF">
        <w:tblPrEx>
          <w:tblCellMar>
            <w:top w:w="0" w:type="dxa"/>
            <w:bottom w:w="0" w:type="dxa"/>
          </w:tblCellMar>
        </w:tblPrEx>
        <w:trPr>
          <w:trHeight w:hRule="exact" w:val="113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113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产品过往业绩并不代表其未来表现。理财非存款，产品有风险，投资需谨慎。</w:t>
            </w:r>
          </w:p>
        </w:tc>
      </w:tr>
      <w:tr w:rsidR="003A51D3" w:rsidTr="000A6EEF">
        <w:tblPrEx>
          <w:tblCellMar>
            <w:top w:w="0" w:type="dxa"/>
            <w:bottom w:w="0" w:type="dxa"/>
          </w:tblCellMar>
        </w:tblPrEx>
        <w:trPr>
          <w:trHeight w:hRule="exact" w:val="2267"/>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vMerge w:val="restart"/>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2267"/>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113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vMerge w:val="restart"/>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7344" w:type="dxa"/>
            <w:gridSpan w:val="11"/>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420" w:lineRule="exact"/>
              <w:ind w:left="20"/>
              <w:jc w:val="center"/>
              <w:rPr>
                <w:rFonts w:ascii="微软雅黑" w:eastAsia="微软雅黑" w:hAnsi="Times New Roman" w:cs="微软雅黑"/>
                <w:sz w:val="30"/>
                <w:szCs w:val="30"/>
              </w:rPr>
            </w:pPr>
            <w:r>
              <w:rPr>
                <w:rFonts w:ascii="微软雅黑" w:eastAsia="微软雅黑" w:hAnsi="Times New Roman" w:cs="微软雅黑" w:hint="eastAsia"/>
                <w:sz w:val="30"/>
                <w:szCs w:val="30"/>
              </w:rPr>
              <w:t>产品管理人：江苏太仓农村商业银行股份有限公司</w:t>
            </w:r>
          </w:p>
        </w:tc>
        <w:tc>
          <w:tcPr>
            <w:tcW w:w="1632" w:type="dxa"/>
            <w:vMerge w:val="restart"/>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113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7344" w:type="dxa"/>
            <w:gridSpan w:val="11"/>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420" w:lineRule="exact"/>
              <w:ind w:left="20"/>
              <w:jc w:val="center"/>
              <w:rPr>
                <w:rFonts w:ascii="微软雅黑" w:eastAsia="微软雅黑" w:hAnsi="Times New Roman" w:cs="微软雅黑"/>
                <w:sz w:val="30"/>
                <w:szCs w:val="30"/>
              </w:rPr>
            </w:pPr>
            <w:r>
              <w:rPr>
                <w:rFonts w:ascii="微软雅黑" w:eastAsia="微软雅黑" w:hAnsi="Times New Roman" w:cs="微软雅黑" w:hint="eastAsia"/>
                <w:sz w:val="30"/>
                <w:szCs w:val="30"/>
              </w:rPr>
              <w:t>产品托管人：南京银行股份有限公司</w:t>
            </w:r>
          </w:p>
        </w:tc>
        <w:tc>
          <w:tcPr>
            <w:tcW w:w="1632" w:type="dxa"/>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微软雅黑" w:eastAsia="微软雅黑" w:hAnsi="Times New Roman" w:cs="微软雅黑"/>
                <w:sz w:val="30"/>
                <w:szCs w:val="30"/>
              </w:rPr>
            </w:pPr>
          </w:p>
        </w:tc>
      </w:tr>
      <w:tr w:rsidR="003A51D3" w:rsidTr="000A6EEF">
        <w:tblPrEx>
          <w:tblCellMar>
            <w:top w:w="0" w:type="dxa"/>
            <w:bottom w:w="0" w:type="dxa"/>
          </w:tblCellMar>
        </w:tblPrEx>
        <w:trPr>
          <w:trHeight w:hRule="exact" w:val="113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7344" w:type="dxa"/>
            <w:gridSpan w:val="11"/>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420" w:lineRule="exact"/>
              <w:ind w:left="20"/>
              <w:jc w:val="center"/>
              <w:rPr>
                <w:rFonts w:ascii="微软雅黑" w:eastAsia="微软雅黑" w:hAnsi="Times New Roman" w:cs="微软雅黑"/>
                <w:sz w:val="30"/>
                <w:szCs w:val="30"/>
              </w:rPr>
            </w:pPr>
            <w:r>
              <w:rPr>
                <w:rFonts w:ascii="微软雅黑" w:eastAsia="微软雅黑" w:hAnsi="Times New Roman" w:cs="微软雅黑" w:hint="eastAsia"/>
                <w:sz w:val="30"/>
                <w:szCs w:val="30"/>
              </w:rPr>
              <w:t>报告期：</w:t>
            </w:r>
            <w:r>
              <w:rPr>
                <w:rFonts w:ascii="微软雅黑" w:eastAsia="微软雅黑" w:hAnsi="Times New Roman" w:cs="微软雅黑"/>
                <w:sz w:val="30"/>
                <w:szCs w:val="30"/>
              </w:rPr>
              <w:t>2024</w:t>
            </w:r>
            <w:r>
              <w:rPr>
                <w:rFonts w:ascii="微软雅黑" w:eastAsia="微软雅黑" w:hAnsi="Times New Roman" w:cs="微软雅黑" w:hint="eastAsia"/>
                <w:sz w:val="30"/>
                <w:szCs w:val="30"/>
              </w:rPr>
              <w:t>年</w:t>
            </w:r>
            <w:r>
              <w:rPr>
                <w:rFonts w:ascii="微软雅黑" w:eastAsia="微软雅黑" w:hAnsi="Times New Roman" w:cs="微软雅黑"/>
                <w:sz w:val="30"/>
                <w:szCs w:val="30"/>
              </w:rPr>
              <w:t>01</w:t>
            </w:r>
            <w:r>
              <w:rPr>
                <w:rFonts w:ascii="微软雅黑" w:eastAsia="微软雅黑" w:hAnsi="Times New Roman" w:cs="微软雅黑" w:hint="eastAsia"/>
                <w:sz w:val="30"/>
                <w:szCs w:val="30"/>
              </w:rPr>
              <w:t>月</w:t>
            </w:r>
            <w:r>
              <w:rPr>
                <w:rFonts w:ascii="微软雅黑" w:eastAsia="微软雅黑" w:hAnsi="Times New Roman" w:cs="微软雅黑"/>
                <w:sz w:val="30"/>
                <w:szCs w:val="30"/>
              </w:rPr>
              <w:t>01</w:t>
            </w:r>
            <w:r>
              <w:rPr>
                <w:rFonts w:ascii="微软雅黑" w:eastAsia="微软雅黑" w:hAnsi="Times New Roman" w:cs="微软雅黑" w:hint="eastAsia"/>
                <w:sz w:val="30"/>
                <w:szCs w:val="30"/>
              </w:rPr>
              <w:t>日至</w:t>
            </w:r>
            <w:r>
              <w:rPr>
                <w:rFonts w:ascii="微软雅黑" w:eastAsia="微软雅黑" w:hAnsi="Times New Roman" w:cs="微软雅黑"/>
                <w:sz w:val="30"/>
                <w:szCs w:val="30"/>
              </w:rPr>
              <w:t>2024</w:t>
            </w:r>
            <w:r>
              <w:rPr>
                <w:rFonts w:ascii="微软雅黑" w:eastAsia="微软雅黑" w:hAnsi="Times New Roman" w:cs="微软雅黑" w:hint="eastAsia"/>
                <w:sz w:val="30"/>
                <w:szCs w:val="30"/>
              </w:rPr>
              <w:t>年</w:t>
            </w:r>
            <w:r>
              <w:rPr>
                <w:rFonts w:ascii="微软雅黑" w:eastAsia="微软雅黑" w:hAnsi="Times New Roman" w:cs="微软雅黑"/>
                <w:sz w:val="30"/>
                <w:szCs w:val="30"/>
              </w:rPr>
              <w:t>12</w:t>
            </w:r>
            <w:r>
              <w:rPr>
                <w:rFonts w:ascii="微软雅黑" w:eastAsia="微软雅黑" w:hAnsi="Times New Roman" w:cs="微软雅黑" w:hint="eastAsia"/>
                <w:sz w:val="30"/>
                <w:szCs w:val="30"/>
              </w:rPr>
              <w:t>月</w:t>
            </w:r>
            <w:r>
              <w:rPr>
                <w:rFonts w:ascii="微软雅黑" w:eastAsia="微软雅黑" w:hAnsi="Times New Roman" w:cs="微软雅黑"/>
                <w:sz w:val="30"/>
                <w:szCs w:val="30"/>
              </w:rPr>
              <w:t>31</w:t>
            </w:r>
            <w:r>
              <w:rPr>
                <w:rFonts w:ascii="微软雅黑" w:eastAsia="微软雅黑" w:hAnsi="Times New Roman" w:cs="微软雅黑" w:hint="eastAsia"/>
                <w:sz w:val="30"/>
                <w:szCs w:val="30"/>
              </w:rPr>
              <w:t>日</w:t>
            </w:r>
          </w:p>
        </w:tc>
        <w:tc>
          <w:tcPr>
            <w:tcW w:w="1632" w:type="dxa"/>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微软雅黑" w:eastAsia="微软雅黑" w:hAnsi="Times New Roman" w:cs="微软雅黑"/>
                <w:sz w:val="30"/>
                <w:szCs w:val="30"/>
              </w:rPr>
            </w:pPr>
          </w:p>
        </w:tc>
      </w:tr>
      <w:tr w:rsidR="003A51D3" w:rsidTr="000A6EEF">
        <w:tblPrEx>
          <w:tblCellMar>
            <w:top w:w="0" w:type="dxa"/>
            <w:bottom w:w="0" w:type="dxa"/>
          </w:tblCellMar>
        </w:tblPrEx>
        <w:trPr>
          <w:trHeight w:hRule="exact" w:val="85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vMerge w:val="restart"/>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85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vMerge/>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第一章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基本信息</w:t>
            </w:r>
          </w:p>
        </w:tc>
      </w:tr>
      <w:tr w:rsidR="003A51D3" w:rsidTr="000A6EEF">
        <w:tblPrEx>
          <w:tblCellMar>
            <w:top w:w="0" w:type="dxa"/>
            <w:bottom w:w="0" w:type="dxa"/>
          </w:tblCellMar>
        </w:tblPrEx>
        <w:trPr>
          <w:trHeight w:hRule="exact" w:val="28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产品名称</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“惠盈利</w:t>
            </w:r>
            <w:r>
              <w:rPr>
                <w:rFonts w:ascii="微软雅黑" w:eastAsia="微软雅黑" w:hAnsi="Times New Roman" w:cs="微软雅黑"/>
              </w:rPr>
              <w:t>1</w:t>
            </w:r>
            <w:r>
              <w:rPr>
                <w:rFonts w:ascii="微软雅黑" w:eastAsia="微软雅黑" w:hAnsi="Times New Roman" w:cs="微软雅黑" w:hint="eastAsia"/>
              </w:rPr>
              <w:t>号”周期型开放式净值型人民币理财产品</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产品代码</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20HYL016M</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登记编码</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16" w:lineRule="exact"/>
              <w:jc w:val="center"/>
              <w:rPr>
                <w:rFonts w:ascii="微软雅黑" w:eastAsia="微软雅黑" w:hAnsi="Times New Roman" w:cs="微软雅黑"/>
              </w:rPr>
            </w:pPr>
            <w:r>
              <w:rPr>
                <w:rFonts w:ascii="微软雅黑" w:eastAsia="微软雅黑" w:hAnsi="Times New Roman" w:cs="微软雅黑"/>
              </w:rPr>
              <w:t>C1115720000035</w:t>
            </w:r>
          </w:p>
          <w:p w:rsidR="003A51D3" w:rsidRDefault="003A51D3" w:rsidP="000A6EEF">
            <w:pPr>
              <w:spacing w:line="316" w:lineRule="exact"/>
              <w:jc w:val="center"/>
              <w:rPr>
                <w:rFonts w:ascii="微软雅黑" w:eastAsia="微软雅黑" w:hAnsi="Times New Roman" w:cs="微软雅黑"/>
              </w:rPr>
            </w:pPr>
            <w:r>
              <w:rPr>
                <w:rFonts w:ascii="微软雅黑" w:eastAsia="微软雅黑" w:hAnsi="Times New Roman" w:cs="微软雅黑" w:hint="eastAsia"/>
              </w:rPr>
              <w:t>（可在中国</w:t>
            </w:r>
            <w:proofErr w:type="gramStart"/>
            <w:r>
              <w:rPr>
                <w:rFonts w:ascii="微软雅黑" w:eastAsia="微软雅黑" w:hAnsi="Times New Roman" w:cs="微软雅黑" w:hint="eastAsia"/>
              </w:rPr>
              <w:t>理财网</w:t>
            </w:r>
            <w:proofErr w:type="gramEnd"/>
            <w:r>
              <w:rPr>
                <w:rFonts w:ascii="微软雅黑" w:eastAsia="微软雅黑" w:hAnsi="Times New Roman" w:cs="微软雅黑"/>
              </w:rPr>
              <w:t>www.chinawealth.com.cn</w:t>
            </w:r>
            <w:r>
              <w:rPr>
                <w:rFonts w:ascii="微软雅黑" w:eastAsia="微软雅黑" w:hAnsi="Times New Roman" w:cs="微软雅黑" w:hint="eastAsia"/>
              </w:rPr>
              <w:t>查询产品信息）</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托管机构</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南京银行股份有限公司</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募集方式</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公募</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运作模式</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开放式净值型</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风险等级</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二级</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投资性质</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固定收益类</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产品起始日期</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2020</w:t>
            </w:r>
            <w:r>
              <w:rPr>
                <w:rFonts w:ascii="微软雅黑" w:eastAsia="微软雅黑" w:hAnsi="Times New Roman" w:cs="微软雅黑" w:hint="eastAsia"/>
              </w:rPr>
              <w:t>年</w:t>
            </w:r>
            <w:r>
              <w:rPr>
                <w:rFonts w:ascii="微软雅黑" w:eastAsia="微软雅黑" w:hAnsi="Times New Roman" w:cs="微软雅黑"/>
              </w:rPr>
              <w:t>04</w:t>
            </w:r>
            <w:r>
              <w:rPr>
                <w:rFonts w:ascii="微软雅黑" w:eastAsia="微软雅黑" w:hAnsi="Times New Roman" w:cs="微软雅黑" w:hint="eastAsia"/>
              </w:rPr>
              <w:t>月</w:t>
            </w:r>
            <w:r>
              <w:rPr>
                <w:rFonts w:ascii="微软雅黑" w:eastAsia="微软雅黑" w:hAnsi="Times New Roman" w:cs="微软雅黑"/>
              </w:rPr>
              <w:t>29</w:t>
            </w:r>
            <w:r>
              <w:rPr>
                <w:rFonts w:ascii="微软雅黑" w:eastAsia="微软雅黑" w:hAnsi="Times New Roman" w:cs="微软雅黑" w:hint="eastAsia"/>
              </w:rPr>
              <w:t>日</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3672"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120"/>
              <w:jc w:val="center"/>
              <w:rPr>
                <w:rFonts w:ascii="微软雅黑" w:eastAsia="微软雅黑" w:hAnsi="Times New Roman" w:cs="微软雅黑"/>
              </w:rPr>
            </w:pPr>
            <w:r>
              <w:rPr>
                <w:rFonts w:ascii="微软雅黑" w:eastAsia="微软雅黑" w:hAnsi="Times New Roman" w:cs="微软雅黑" w:hint="eastAsia"/>
              </w:rPr>
              <w:t>计划终止日期</w:t>
            </w:r>
          </w:p>
        </w:tc>
        <w:tc>
          <w:tcPr>
            <w:tcW w:w="6936"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2040</w:t>
            </w:r>
            <w:r>
              <w:rPr>
                <w:rFonts w:ascii="微软雅黑" w:eastAsia="微软雅黑" w:hAnsi="Times New Roman" w:cs="微软雅黑" w:hint="eastAsia"/>
              </w:rPr>
              <w:t>年</w:t>
            </w:r>
            <w:r>
              <w:rPr>
                <w:rFonts w:ascii="微软雅黑" w:eastAsia="微软雅黑" w:hAnsi="Times New Roman" w:cs="微软雅黑"/>
              </w:rPr>
              <w:t>04</w:t>
            </w:r>
            <w:r>
              <w:rPr>
                <w:rFonts w:ascii="微软雅黑" w:eastAsia="微软雅黑" w:hAnsi="Times New Roman" w:cs="微软雅黑" w:hint="eastAsia"/>
              </w:rPr>
              <w:t>月</w:t>
            </w:r>
            <w:r>
              <w:rPr>
                <w:rFonts w:ascii="微软雅黑" w:eastAsia="微软雅黑" w:hAnsi="Times New Roman" w:cs="微软雅黑"/>
              </w:rPr>
              <w:t>29</w:t>
            </w:r>
            <w:r>
              <w:rPr>
                <w:rFonts w:ascii="微软雅黑" w:eastAsia="微软雅黑" w:hAnsi="Times New Roman" w:cs="微软雅黑" w:hint="eastAsia"/>
              </w:rPr>
              <w:t>日</w:t>
            </w:r>
          </w:p>
        </w:tc>
      </w:tr>
      <w:tr w:rsidR="003A51D3" w:rsidTr="000A6EEF">
        <w:tblPrEx>
          <w:tblCellMar>
            <w:top w:w="0" w:type="dxa"/>
            <w:bottom w:w="0" w:type="dxa"/>
          </w:tblCellMar>
        </w:tblPrEx>
        <w:trPr>
          <w:trHeight w:hRule="exact" w:val="28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第二章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收益表现</w:t>
            </w:r>
          </w:p>
        </w:tc>
      </w:tr>
      <w:tr w:rsidR="003A51D3" w:rsidTr="000A6EEF">
        <w:tblPrEx>
          <w:tblCellMar>
            <w:top w:w="0" w:type="dxa"/>
            <w:bottom w:w="0" w:type="dxa"/>
          </w:tblCellMar>
        </w:tblPrEx>
        <w:trPr>
          <w:trHeight w:hRule="exact" w:val="28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30" w:lineRule="exact"/>
              <w:ind w:right="120"/>
              <w:jc w:val="right"/>
              <w:rPr>
                <w:rFonts w:ascii="微软雅黑" w:eastAsia="微软雅黑" w:hAnsi="Times New Roman" w:cs="微软雅黑"/>
              </w:rPr>
            </w:pPr>
            <w:r>
              <w:rPr>
                <w:rFonts w:ascii="微软雅黑" w:eastAsia="微软雅黑" w:hAnsi="Times New Roman" w:cs="微软雅黑" w:hint="eastAsia"/>
              </w:rPr>
              <w:t>金额单位：元</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7344" w:type="dxa"/>
            <w:gridSpan w:val="10"/>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时点指标</w:t>
            </w:r>
          </w:p>
        </w:tc>
        <w:tc>
          <w:tcPr>
            <w:tcW w:w="3264"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区间指标</w:t>
            </w:r>
          </w:p>
        </w:tc>
      </w:tr>
      <w:tr w:rsidR="003A51D3" w:rsidTr="000A6EEF">
        <w:tblPrEx>
          <w:tblCellMar>
            <w:top w:w="0" w:type="dxa"/>
            <w:bottom w:w="0" w:type="dxa"/>
          </w:tblCellMar>
        </w:tblPrEx>
        <w:trPr>
          <w:trHeight w:hRule="exact" w:val="99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份额净值</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累计净值</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份额总数</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资产净值</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累计净值增长率</w:t>
            </w:r>
            <w:r>
              <w:rPr>
                <w:rFonts w:ascii="微软雅黑" w:eastAsia="微软雅黑" w:hAnsi="Times New Roman" w:cs="微软雅黑"/>
              </w:rPr>
              <w:t>/</w:t>
            </w:r>
            <w:r>
              <w:rPr>
                <w:rFonts w:ascii="微软雅黑" w:eastAsia="微软雅黑" w:hAnsi="Times New Roman" w:cs="微软雅黑" w:hint="eastAsia"/>
              </w:rPr>
              <w:t>累计净值收益率</w:t>
            </w:r>
            <w:r>
              <w:rPr>
                <w:rFonts w:ascii="微软雅黑" w:eastAsia="微软雅黑" w:hAnsi="Times New Roman" w:cs="微软雅黑"/>
              </w:rPr>
              <w:t>(%)</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报告期末</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1.19935711</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1.19935711</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1,147,644,551.87</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1,376,435,647.57</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r>
      <w:tr w:rsidR="003A51D3" w:rsidTr="000A6EEF">
        <w:tblPrEx>
          <w:tblCellMar>
            <w:top w:w="0" w:type="dxa"/>
            <w:bottom w:w="0" w:type="dxa"/>
          </w:tblCellMar>
        </w:tblPrEx>
        <w:trPr>
          <w:trHeight w:hRule="exact" w:val="66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三个月前</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1.18846646</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1.18846646</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1,173,962,193.00</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1,395,214,696.34</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过去三个月</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0.92</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六个月前</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1.17961129</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1.17961129</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1,154,590,993.26</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1,361,968,570.00</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过去六个月</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1.67</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九个月前</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1.16898709</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1.16898709</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1,169,174,950.43</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1,366,750,426.32</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过去九个月</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2.60</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一年前</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1.15942638</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1.15942638</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1,236,417,554.15</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1,433,535,127.55</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过去一年</w:t>
            </w:r>
          </w:p>
          <w:p w:rsidR="003A51D3" w:rsidRDefault="003A51D3" w:rsidP="000A6EEF">
            <w:pPr>
              <w:spacing w:line="330" w:lineRule="exact"/>
              <w:ind w:left="20"/>
              <w:jc w:val="center"/>
              <w:rPr>
                <w:rFonts w:ascii="微软雅黑" w:eastAsia="微软雅黑" w:hAnsi="Times New Roman" w:cs="微软雅黑"/>
              </w:rPr>
            </w:pP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3.44</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成立至今</w:t>
            </w:r>
          </w:p>
          <w:p w:rsidR="003A51D3" w:rsidRDefault="003A51D3" w:rsidP="000A6EEF">
            <w:pPr>
              <w:spacing w:line="330" w:lineRule="exact"/>
              <w:ind w:left="20"/>
              <w:jc w:val="center"/>
              <w:rPr>
                <w:rFonts w:ascii="微软雅黑" w:eastAsia="微软雅黑" w:hAnsi="Times New Roman" w:cs="微软雅黑"/>
              </w:rPr>
            </w:pP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19.94</w:t>
            </w:r>
          </w:p>
        </w:tc>
      </w:tr>
      <w:tr w:rsidR="003A51D3" w:rsidTr="000A6EEF">
        <w:tblPrEx>
          <w:tblCellMar>
            <w:top w:w="0" w:type="dxa"/>
            <w:bottom w:w="0" w:type="dxa"/>
          </w:tblCellMar>
        </w:tblPrEx>
        <w:trPr>
          <w:trHeight w:hRule="exact" w:val="28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第三章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管理人报告</w:t>
            </w:r>
          </w:p>
        </w:tc>
      </w:tr>
      <w:tr w:rsidR="003A51D3" w:rsidTr="000A6EEF">
        <w:tblPrEx>
          <w:tblCellMar>
            <w:top w:w="0" w:type="dxa"/>
            <w:bottom w:w="0" w:type="dxa"/>
          </w:tblCellMar>
        </w:tblPrEx>
        <w:trPr>
          <w:trHeight w:hRule="exact" w:val="390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1.</w:t>
            </w:r>
            <w:r>
              <w:rPr>
                <w:rFonts w:ascii="微软雅黑" w:eastAsia="微软雅黑" w:hAnsi="Times New Roman" w:cs="微软雅黑" w:hint="eastAsia"/>
              </w:rPr>
              <w:t>报告期内本产品投资策略</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利用定性分析和定量分析方法，通过对相关金融资产的合理配置，在确保本金安全和流动性的前提下，追求稳定合理的回报。</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2.</w:t>
            </w:r>
            <w:r>
              <w:rPr>
                <w:rFonts w:ascii="微软雅黑" w:eastAsia="微软雅黑" w:hAnsi="Times New Roman" w:cs="微软雅黑" w:hint="eastAsia"/>
              </w:rPr>
              <w:t>本产品未来表现展望</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通过对国内外宏观经济形势、金融市场运行情况的综合分析，在严格控制风险的前提下，主动构建及调整投资组合，力争获取超额收益。</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3.</w:t>
            </w:r>
            <w:r>
              <w:rPr>
                <w:rFonts w:ascii="微软雅黑" w:eastAsia="微软雅黑" w:hAnsi="Times New Roman" w:cs="微软雅黑" w:hint="eastAsia"/>
              </w:rPr>
              <w:t>报告期内本产品运作遵规守信情况</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江苏太仓农村商业银行股份有限公司：</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作为理财产品管理人，在报告期内产品运作严格遵守《关于规范金融机构资产管理业务的指导意见》《商业银行理财业务监督管理办法》等法律法规、部门规章，依照诚实信用、勤勉尽责、安全高效的原则，在认真控制产品投资风险的基础上，为产品持有人谋求最大利益。</w:t>
            </w:r>
          </w:p>
        </w:tc>
      </w:tr>
      <w:tr w:rsidR="003A51D3" w:rsidTr="000A6EEF">
        <w:tblPrEx>
          <w:tblCellMar>
            <w:top w:w="0" w:type="dxa"/>
            <w:bottom w:w="0" w:type="dxa"/>
          </w:tblCellMar>
        </w:tblPrEx>
        <w:trPr>
          <w:trHeight w:hRule="exact" w:val="28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第四章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托管人报告</w:t>
            </w:r>
          </w:p>
        </w:tc>
      </w:tr>
      <w:tr w:rsidR="003A51D3" w:rsidTr="000A6EEF">
        <w:tblPrEx>
          <w:tblCellMar>
            <w:top w:w="0" w:type="dxa"/>
            <w:bottom w:w="0" w:type="dxa"/>
          </w:tblCellMar>
        </w:tblPrEx>
        <w:trPr>
          <w:trHeight w:hRule="exact" w:val="322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南京银行股份有限公司声明：</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在报告期内，南京银行股份有限公司作为产品的托管人，严格遵守《关于规范金融机构资产管理业务的指导意见》《商业银行理财业务监督管理办法》等法律法规、部门规章，依照诚实信用、勤勉尽责、安全高效的原则，不存在任何损害产品份额持有人利益的行为，完全尽职尽责地履行了产品托管人应尽的义务。</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在报告期内，江苏太仓农村商业银行股份有限公司作为产品的管理人，在资金的投资运作、净值计算、利润分配、费用开支等问题上，严格遵守《关于规范金融机构资产管理业务的指导意见》《商业银行理财业务监督管理办法》等法律法规、部门规章。</w:t>
            </w:r>
          </w:p>
          <w:p w:rsidR="003A51D3" w:rsidRDefault="003A51D3" w:rsidP="000A6EEF">
            <w:pPr>
              <w:spacing w:line="316" w:lineRule="exact"/>
              <w:rPr>
                <w:rFonts w:ascii="微软雅黑" w:eastAsia="微软雅黑" w:hAnsi="Times New Roman" w:cs="微软雅黑"/>
              </w:rPr>
            </w:pPr>
          </w:p>
        </w:tc>
      </w:tr>
      <w:tr w:rsidR="003A51D3" w:rsidTr="000A6EEF">
        <w:tblPrEx>
          <w:tblCellMar>
            <w:top w:w="0" w:type="dxa"/>
            <w:bottom w:w="0" w:type="dxa"/>
          </w:tblCellMar>
        </w:tblPrEx>
        <w:trPr>
          <w:trHeight w:hRule="exact" w:val="28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第五章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资产持仓</w:t>
            </w:r>
          </w:p>
        </w:tc>
      </w:tr>
      <w:tr w:rsidR="003A51D3" w:rsidTr="000A6EEF">
        <w:tblPrEx>
          <w:tblCellMar>
            <w:top w:w="0" w:type="dxa"/>
            <w:bottom w:w="0" w:type="dxa"/>
          </w:tblCellMar>
        </w:tblPrEx>
        <w:trPr>
          <w:trHeight w:hRule="exact" w:val="51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5.1 </w:t>
            </w:r>
            <w:r>
              <w:rPr>
                <w:rFonts w:ascii="微软雅黑" w:eastAsia="微软雅黑" w:hAnsi="Times New Roman" w:cs="微软雅黑" w:hint="eastAsia"/>
                <w:b/>
                <w:bCs/>
                <w:sz w:val="28"/>
                <w:szCs w:val="28"/>
              </w:rPr>
              <w:t>报告期末持有资产情况</w:t>
            </w:r>
          </w:p>
        </w:tc>
      </w:tr>
      <w:tr w:rsidR="003A51D3" w:rsidTr="000A6EEF">
        <w:tblPrEx>
          <w:tblCellMar>
            <w:top w:w="0" w:type="dxa"/>
            <w:bottom w:w="0" w:type="dxa"/>
          </w:tblCellMar>
        </w:tblPrEx>
        <w:trPr>
          <w:trHeight w:hRule="exact" w:val="79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资产代码</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proofErr w:type="gramStart"/>
            <w:r>
              <w:rPr>
                <w:rFonts w:ascii="微软雅黑" w:eastAsia="微软雅黑" w:hAnsi="Times New Roman" w:cs="微软雅黑" w:hint="eastAsia"/>
              </w:rPr>
              <w:t>穿透前占总</w:t>
            </w:r>
            <w:proofErr w:type="gramEnd"/>
            <w:r>
              <w:rPr>
                <w:rFonts w:ascii="微软雅黑" w:eastAsia="微软雅黑" w:hAnsi="Times New Roman" w:cs="微软雅黑" w:hint="eastAsia"/>
              </w:rPr>
              <w:t>资产比例（</w:t>
            </w:r>
            <w:r>
              <w:rPr>
                <w:rFonts w:ascii="微软雅黑" w:eastAsia="微软雅黑" w:hAnsi="Times New Roman" w:cs="微软雅黑"/>
              </w:rPr>
              <w:t>%</w:t>
            </w:r>
            <w:r>
              <w:rPr>
                <w:rFonts w:ascii="微软雅黑" w:eastAsia="微软雅黑" w:hAnsi="Times New Roman" w:cs="微软雅黑" w:hint="eastAsia"/>
              </w:rPr>
              <w:t>）</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穿透后占总资产比例（</w:t>
            </w:r>
            <w:r>
              <w:rPr>
                <w:rFonts w:ascii="微软雅黑" w:eastAsia="微软雅黑" w:hAnsi="Times New Roman" w:cs="微软雅黑"/>
              </w:rPr>
              <w:t>%</w:t>
            </w:r>
            <w:r>
              <w:rPr>
                <w:rFonts w:ascii="微软雅黑" w:eastAsia="微软雅黑" w:hAnsi="Times New Roman" w:cs="微软雅黑" w:hint="eastAsia"/>
              </w:rPr>
              <w:t>）</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现金及银行存款</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2.87</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1.37</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同业存单</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拆放同业及债券买入返售</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2.49</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5.40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债券</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68.26</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93.23</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非标准化债权类资产</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权益类资产</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7</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金融衍生品</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8</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代客境外理财投资</w:t>
            </w:r>
            <w:r>
              <w:rPr>
                <w:rFonts w:ascii="微软雅黑" w:eastAsia="微软雅黑" w:hAnsi="Times New Roman" w:cs="微软雅黑"/>
              </w:rPr>
              <w:t>QDII</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商品类资产</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10</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另类资产</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公</w:t>
            </w:r>
            <w:proofErr w:type="gramStart"/>
            <w:r>
              <w:rPr>
                <w:rFonts w:ascii="微软雅黑" w:eastAsia="微软雅黑" w:hAnsi="Times New Roman" w:cs="微软雅黑" w:hint="eastAsia"/>
              </w:rPr>
              <w:t>募基金</w:t>
            </w:r>
            <w:proofErr w:type="gramEnd"/>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12</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私募基金</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资产管理产品</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26.38</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14</w:t>
            </w:r>
          </w:p>
        </w:tc>
        <w:tc>
          <w:tcPr>
            <w:tcW w:w="4080"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委外投资</w:t>
            </w:r>
            <w:r>
              <w:rPr>
                <w:rFonts w:ascii="微软雅黑" w:eastAsia="微软雅黑" w:hAnsi="Times New Roman" w:cs="微软雅黑"/>
              </w:rPr>
              <w:t>——</w:t>
            </w:r>
            <w:r>
              <w:rPr>
                <w:rFonts w:ascii="微软雅黑" w:eastAsia="微软雅黑" w:hAnsi="Times New Roman" w:cs="微软雅黑" w:hint="eastAsia"/>
              </w:rPr>
              <w:t>协议方式</w:t>
            </w:r>
          </w:p>
        </w:tc>
        <w:tc>
          <w:tcPr>
            <w:tcW w:w="2856" w:type="dxa"/>
            <w:gridSpan w:val="4"/>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c>
          <w:tcPr>
            <w:tcW w:w="285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0.00</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hint="eastAsia"/>
                <w:sz w:val="28"/>
                <w:szCs w:val="28"/>
              </w:rPr>
              <w:t>本产品截至报告期末的杠杆率为</w:t>
            </w:r>
            <w:r>
              <w:rPr>
                <w:rFonts w:ascii="微软雅黑" w:eastAsia="微软雅黑" w:hAnsi="Times New Roman" w:cs="微软雅黑"/>
                <w:sz w:val="28"/>
                <w:szCs w:val="28"/>
              </w:rPr>
              <w:t>102.28%</w:t>
            </w:r>
          </w:p>
        </w:tc>
      </w:tr>
      <w:tr w:rsidR="003A51D3" w:rsidTr="000A6EEF">
        <w:tblPrEx>
          <w:tblCellMar>
            <w:top w:w="0" w:type="dxa"/>
            <w:bottom w:w="0" w:type="dxa"/>
          </w:tblCellMar>
        </w:tblPrEx>
        <w:trPr>
          <w:trHeight w:hRule="exact" w:val="28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5.2 </w:t>
            </w:r>
            <w:r>
              <w:rPr>
                <w:rFonts w:ascii="微软雅黑" w:eastAsia="微软雅黑" w:hAnsi="Times New Roman" w:cs="微软雅黑" w:hint="eastAsia"/>
                <w:b/>
                <w:bCs/>
                <w:sz w:val="28"/>
                <w:szCs w:val="28"/>
              </w:rPr>
              <w:t>报告期末持有前十项资产情况</w:t>
            </w:r>
          </w:p>
        </w:tc>
      </w:tr>
      <w:tr w:rsidR="003A51D3" w:rsidTr="000A6EEF">
        <w:tblPrEx>
          <w:tblCellMar>
            <w:top w:w="0" w:type="dxa"/>
            <w:bottom w:w="0" w:type="dxa"/>
          </w:tblCellMar>
        </w:tblPrEx>
        <w:trPr>
          <w:trHeight w:hRule="exact" w:val="79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资产名称</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资产类别</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资产代码</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持有金额（元）</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占总资产的比例（</w:t>
            </w:r>
            <w:r>
              <w:rPr>
                <w:rFonts w:ascii="微软雅黑" w:eastAsia="微软雅黑" w:hAnsi="Times New Roman" w:cs="微软雅黑"/>
              </w:rPr>
              <w:t>%</w:t>
            </w:r>
            <w:r>
              <w:rPr>
                <w:rFonts w:ascii="微软雅黑" w:eastAsia="微软雅黑" w:hAnsi="Times New Roman" w:cs="微软雅黑" w:hint="eastAsia"/>
              </w:rPr>
              <w:t>）</w:t>
            </w:r>
          </w:p>
        </w:tc>
      </w:tr>
      <w:tr w:rsidR="003A51D3" w:rsidTr="000A6EEF">
        <w:tblPrEx>
          <w:tblCellMar>
            <w:top w:w="0" w:type="dxa"/>
            <w:bottom w:w="0" w:type="dxa"/>
          </w:tblCellMar>
        </w:tblPrEx>
        <w:trPr>
          <w:trHeight w:hRule="exact" w:val="99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华润信托惠鑫</w:t>
            </w:r>
            <w:r>
              <w:rPr>
                <w:rFonts w:ascii="微软雅黑" w:eastAsia="微软雅黑" w:hAnsi="Times New Roman" w:cs="微软雅黑"/>
              </w:rPr>
              <w:t>1</w:t>
            </w:r>
            <w:r>
              <w:rPr>
                <w:rFonts w:ascii="微软雅黑" w:eastAsia="微软雅黑" w:hAnsi="Times New Roman" w:cs="微软雅黑" w:hint="eastAsia"/>
              </w:rPr>
              <w:t>号单一资金信托计划</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理财信托</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HRXTHX1H</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371,325,744.50</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26.38</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r>
              <w:rPr>
                <w:rFonts w:ascii="微软雅黑" w:eastAsia="微软雅黑" w:hAnsi="Times New Roman" w:cs="微软雅黑" w:hint="eastAsia"/>
              </w:rPr>
              <w:t>天风</w:t>
            </w:r>
            <w:r>
              <w:rPr>
                <w:rFonts w:ascii="微软雅黑" w:eastAsia="微软雅黑" w:hAnsi="Times New Roman" w:cs="微软雅黑"/>
              </w:rPr>
              <w:t>03</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金融债</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194511</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61,903,013.90</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4.40</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21</w:t>
            </w:r>
            <w:r>
              <w:rPr>
                <w:rFonts w:ascii="微软雅黑" w:eastAsia="微软雅黑" w:hAnsi="Times New Roman" w:cs="微软雅黑" w:hint="eastAsia"/>
              </w:rPr>
              <w:t>柯城</w:t>
            </w:r>
            <w:r>
              <w:rPr>
                <w:rFonts w:ascii="微软雅黑" w:eastAsia="微软雅黑" w:hAnsi="Times New Roman" w:cs="微软雅黑"/>
              </w:rPr>
              <w:t>01</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178347</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51,080,821.92</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3.63</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proofErr w:type="gramStart"/>
            <w:r>
              <w:rPr>
                <w:rFonts w:ascii="微软雅黑" w:eastAsia="微软雅黑" w:hAnsi="Times New Roman" w:cs="微软雅黑" w:hint="eastAsia"/>
              </w:rPr>
              <w:t>淮高</w:t>
            </w:r>
            <w:proofErr w:type="gramEnd"/>
            <w:r>
              <w:rPr>
                <w:rFonts w:ascii="微软雅黑" w:eastAsia="微软雅黑" w:hAnsi="Times New Roman" w:cs="微软雅黑"/>
              </w:rPr>
              <w:t>01</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196221</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42,314,520.55</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3.01</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proofErr w:type="gramStart"/>
            <w:r>
              <w:rPr>
                <w:rFonts w:ascii="微软雅黑" w:eastAsia="微软雅黑" w:hAnsi="Times New Roman" w:cs="微软雅黑" w:hint="eastAsia"/>
              </w:rPr>
              <w:t>吴资</w:t>
            </w:r>
            <w:proofErr w:type="gramEnd"/>
            <w:r>
              <w:rPr>
                <w:rFonts w:ascii="微软雅黑" w:eastAsia="微软雅黑" w:hAnsi="Times New Roman" w:cs="微软雅黑"/>
              </w:rPr>
              <w:t>02</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194990</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40,759,209.86</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2.90</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proofErr w:type="gramStart"/>
            <w:r>
              <w:rPr>
                <w:rFonts w:ascii="微软雅黑" w:eastAsia="微软雅黑" w:hAnsi="Times New Roman" w:cs="微软雅黑" w:hint="eastAsia"/>
              </w:rPr>
              <w:t>安控</w:t>
            </w:r>
            <w:proofErr w:type="gramEnd"/>
            <w:r>
              <w:rPr>
                <w:rFonts w:ascii="微软雅黑" w:eastAsia="微软雅黑" w:hAnsi="Times New Roman" w:cs="微软雅黑"/>
              </w:rPr>
              <w:t>02</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194545</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40,649,400.00</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2.89</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7</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proofErr w:type="gramStart"/>
            <w:r>
              <w:rPr>
                <w:rFonts w:ascii="微软雅黑" w:eastAsia="微软雅黑" w:hAnsi="Times New Roman" w:cs="微软雅黑" w:hint="eastAsia"/>
              </w:rPr>
              <w:t>吴投</w:t>
            </w:r>
            <w:proofErr w:type="gramEnd"/>
            <w:r>
              <w:rPr>
                <w:rFonts w:ascii="微软雅黑" w:eastAsia="微软雅黑" w:hAnsi="Times New Roman" w:cs="微软雅黑"/>
              </w:rPr>
              <w:t>02</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182386</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40,536,904.11</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2.88</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8</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w:t>
            </w:r>
            <w:proofErr w:type="gramStart"/>
            <w:r>
              <w:rPr>
                <w:rFonts w:ascii="微软雅黑" w:eastAsia="微软雅黑" w:hAnsi="Times New Roman" w:cs="微软雅黑" w:hint="eastAsia"/>
              </w:rPr>
              <w:t>浔</w:t>
            </w:r>
            <w:proofErr w:type="gramEnd"/>
            <w:r>
              <w:rPr>
                <w:rFonts w:ascii="微软雅黑" w:eastAsia="微软雅黑" w:hAnsi="Times New Roman" w:cs="微软雅黑" w:hint="eastAsia"/>
              </w:rPr>
              <w:t>交</w:t>
            </w:r>
            <w:r>
              <w:rPr>
                <w:rFonts w:ascii="微软雅黑" w:eastAsia="微软雅黑" w:hAnsi="Times New Roman" w:cs="微软雅黑"/>
              </w:rPr>
              <w:t>02</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私募债券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194847</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32,175,742.60</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2.29</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20</w:t>
            </w:r>
            <w:r>
              <w:rPr>
                <w:rFonts w:ascii="微软雅黑" w:eastAsia="微软雅黑" w:hAnsi="Times New Roman" w:cs="微软雅黑" w:hint="eastAsia"/>
              </w:rPr>
              <w:t>苏州银行二级</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次级债</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2020043</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31,074,047.26</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2.21</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10</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proofErr w:type="gramStart"/>
            <w:r>
              <w:rPr>
                <w:rFonts w:ascii="微软雅黑" w:eastAsia="微软雅黑" w:hAnsi="Times New Roman" w:cs="微软雅黑" w:hint="eastAsia"/>
              </w:rPr>
              <w:t>锡东优</w:t>
            </w:r>
            <w:proofErr w:type="gramEnd"/>
            <w:r>
              <w:rPr>
                <w:rFonts w:ascii="微软雅黑" w:eastAsia="微软雅黑" w:hAnsi="Times New Roman" w:cs="微软雅黑"/>
              </w:rPr>
              <w:t>B</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资产支持证券</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159392</w:t>
            </w:r>
          </w:p>
        </w:tc>
        <w:tc>
          <w:tcPr>
            <w:tcW w:w="204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30,688,569.86</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2.18</w:t>
            </w:r>
          </w:p>
        </w:tc>
      </w:tr>
      <w:tr w:rsidR="003A51D3" w:rsidTr="000A6EEF">
        <w:tblPrEx>
          <w:tblCellMar>
            <w:top w:w="0" w:type="dxa"/>
            <w:bottom w:w="0" w:type="dxa"/>
          </w:tblCellMar>
        </w:tblPrEx>
        <w:trPr>
          <w:trHeight w:hRule="exact" w:val="28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5.3 </w:t>
            </w:r>
            <w:r>
              <w:rPr>
                <w:rFonts w:ascii="微软雅黑" w:eastAsia="微软雅黑" w:hAnsi="Times New Roman" w:cs="微软雅黑" w:hint="eastAsia"/>
                <w:b/>
                <w:bCs/>
                <w:sz w:val="28"/>
                <w:szCs w:val="28"/>
              </w:rPr>
              <w:t>报告期末持有非标准化债权类资产情况</w:t>
            </w:r>
          </w:p>
        </w:tc>
      </w:tr>
      <w:tr w:rsidR="003A51D3" w:rsidTr="000A6EEF">
        <w:tblPrEx>
          <w:tblCellMar>
            <w:top w:w="0" w:type="dxa"/>
            <w:bottom w:w="0" w:type="dxa"/>
          </w:tblCellMar>
        </w:tblPrEx>
        <w:trPr>
          <w:trHeight w:hRule="exact" w:val="66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融资客户</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项目名称</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剩余期限（天）</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proofErr w:type="gramStart"/>
            <w:r>
              <w:rPr>
                <w:rFonts w:ascii="微软雅黑" w:eastAsia="微软雅黑" w:hAnsi="Times New Roman" w:cs="微软雅黑" w:hint="eastAsia"/>
              </w:rPr>
              <w:t>年化收益率</w:t>
            </w:r>
            <w:proofErr w:type="gramEnd"/>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交易结构</w:t>
            </w:r>
          </w:p>
        </w:tc>
        <w:tc>
          <w:tcPr>
            <w:tcW w:w="1632"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风险情况</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285"/>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5.4 </w:t>
            </w:r>
            <w:r>
              <w:rPr>
                <w:rFonts w:ascii="微软雅黑" w:eastAsia="微软雅黑" w:hAnsi="Times New Roman" w:cs="微软雅黑" w:hint="eastAsia"/>
                <w:b/>
                <w:bCs/>
                <w:sz w:val="28"/>
                <w:szCs w:val="28"/>
              </w:rPr>
              <w:t>报告期内关联交易情况</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关联方名称</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w:t>
            </w:r>
            <w:r>
              <w:rPr>
                <w:rFonts w:ascii="微软雅黑" w:eastAsia="微软雅黑" w:hAnsi="Times New Roman" w:cs="微软雅黑"/>
              </w:rPr>
              <w:t>/</w:t>
            </w:r>
            <w:r>
              <w:rPr>
                <w:rFonts w:ascii="微软雅黑" w:eastAsia="微软雅黑" w:hAnsi="Times New Roman" w:cs="微软雅黑" w:hint="eastAsia"/>
              </w:rPr>
              <w:t>服务名称</w:t>
            </w: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w:t>
            </w:r>
            <w:r>
              <w:rPr>
                <w:rFonts w:ascii="微软雅黑" w:eastAsia="微软雅黑" w:hAnsi="Times New Roman" w:cs="微软雅黑"/>
              </w:rPr>
              <w:t>/</w:t>
            </w:r>
            <w:r>
              <w:rPr>
                <w:rFonts w:ascii="微软雅黑" w:eastAsia="微软雅黑" w:hAnsi="Times New Roman" w:cs="微软雅黑" w:hint="eastAsia"/>
              </w:rPr>
              <w:t>服务类别</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资产代码</w:t>
            </w: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交易数量</w:t>
            </w: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交易金额</w:t>
            </w:r>
          </w:p>
        </w:tc>
      </w:tr>
      <w:tr w:rsidR="003A51D3" w:rsidTr="000A6EEF">
        <w:tblPrEx>
          <w:tblCellMar>
            <w:top w:w="0" w:type="dxa"/>
            <w:bottom w:w="0" w:type="dxa"/>
          </w:tblCellMar>
        </w:tblPrEx>
        <w:trPr>
          <w:trHeight w:hRule="exact" w:val="566"/>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1224"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04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285"/>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bookmarkStart w:id="0" w:name="_Hlk192857334"/>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5.5 </w:t>
            </w:r>
            <w:r>
              <w:rPr>
                <w:rFonts w:ascii="微软雅黑" w:eastAsia="微软雅黑" w:hAnsi="Times New Roman" w:cs="微软雅黑" w:hint="eastAsia"/>
                <w:b/>
                <w:bCs/>
                <w:sz w:val="28"/>
                <w:szCs w:val="28"/>
              </w:rPr>
              <w:t>报告期内投资的</w:t>
            </w:r>
            <w:proofErr w:type="gramStart"/>
            <w:r>
              <w:rPr>
                <w:rFonts w:ascii="微软雅黑" w:eastAsia="微软雅黑" w:hAnsi="Times New Roman" w:cs="微软雅黑" w:hint="eastAsia"/>
                <w:b/>
                <w:bCs/>
                <w:sz w:val="28"/>
                <w:szCs w:val="28"/>
              </w:rPr>
              <w:t>资管计划</w:t>
            </w:r>
            <w:proofErr w:type="gramEnd"/>
            <w:r>
              <w:rPr>
                <w:rFonts w:ascii="微软雅黑" w:eastAsia="微软雅黑" w:hAnsi="Times New Roman" w:cs="微软雅黑" w:hint="eastAsia"/>
                <w:b/>
                <w:bCs/>
                <w:sz w:val="28"/>
                <w:szCs w:val="28"/>
              </w:rPr>
              <w:t>底层资产信息</w:t>
            </w:r>
          </w:p>
        </w:tc>
      </w:tr>
      <w:tr w:rsidR="003A51D3" w:rsidTr="000A6EEF">
        <w:tblPrEx>
          <w:tblCellMar>
            <w:top w:w="0" w:type="dxa"/>
            <w:bottom w:w="0" w:type="dxa"/>
          </w:tblCellMar>
        </w:tblPrEx>
        <w:trPr>
          <w:trHeight w:hRule="exact" w:val="793"/>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资产类别</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占总资产的比例（</w:t>
            </w:r>
            <w:r>
              <w:rPr>
                <w:rFonts w:ascii="微软雅黑" w:eastAsia="微软雅黑" w:hAnsi="Times New Roman" w:cs="微软雅黑"/>
              </w:rPr>
              <w:t>%</w:t>
            </w:r>
            <w:r>
              <w:rPr>
                <w:rFonts w:ascii="微软雅黑" w:eastAsia="微软雅黑" w:hAnsi="Times New Roman" w:cs="微软雅黑" w:hint="eastAsia"/>
              </w:rPr>
              <w:t>）</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银行存款及存出保证金</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1.37</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同业存单</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买入返售证券</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5.4</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债券（含资产支持证券）</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93.23</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非标准化债权投资</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w:t>
            </w: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其他资产</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5712" w:type="dxa"/>
            <w:gridSpan w:val="8"/>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合计</w:t>
            </w:r>
          </w:p>
        </w:tc>
        <w:tc>
          <w:tcPr>
            <w:tcW w:w="4896"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100</w:t>
            </w:r>
          </w:p>
        </w:tc>
      </w:tr>
      <w:bookmarkEnd w:id="0"/>
      <w:tr w:rsidR="003A51D3" w:rsidTr="000A6EEF">
        <w:tblPrEx>
          <w:tblCellMar>
            <w:top w:w="0" w:type="dxa"/>
            <w:bottom w:w="0" w:type="dxa"/>
          </w:tblCellMar>
        </w:tblPrEx>
        <w:trPr>
          <w:trHeight w:hRule="exact" w:val="285"/>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5.6 </w:t>
            </w:r>
            <w:r>
              <w:rPr>
                <w:rFonts w:ascii="微软雅黑" w:eastAsia="微软雅黑" w:hAnsi="Times New Roman" w:cs="微软雅黑" w:hint="eastAsia"/>
                <w:b/>
                <w:bCs/>
                <w:sz w:val="28"/>
                <w:szCs w:val="28"/>
              </w:rPr>
              <w:t>理财产品份额变动情况</w:t>
            </w:r>
          </w:p>
        </w:tc>
      </w:tr>
      <w:tr w:rsidR="003A51D3" w:rsidTr="000A6EEF">
        <w:tblPrEx>
          <w:tblCellMar>
            <w:top w:w="0" w:type="dxa"/>
            <w:bottom w:w="0" w:type="dxa"/>
          </w:tblCellMar>
        </w:tblPrEx>
        <w:trPr>
          <w:trHeight w:hRule="exact" w:val="51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30" w:lineRule="exact"/>
              <w:ind w:right="120"/>
              <w:jc w:val="right"/>
              <w:rPr>
                <w:rFonts w:ascii="微软雅黑" w:eastAsia="微软雅黑" w:hAnsi="Times New Roman" w:cs="微软雅黑"/>
              </w:rPr>
            </w:pPr>
            <w:r>
              <w:rPr>
                <w:rFonts w:ascii="微软雅黑" w:eastAsia="微软雅黑" w:hAnsi="Times New Roman" w:cs="微软雅黑" w:hint="eastAsia"/>
              </w:rPr>
              <w:t>单位：份</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报告期期初理财产品份额总额</w:t>
            </w:r>
          </w:p>
        </w:tc>
        <w:tc>
          <w:tcPr>
            <w:tcW w:w="5712"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1,236,417,554.15</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报告期期间理财产品总申购份额</w:t>
            </w:r>
            <w:r>
              <w:rPr>
                <w:rFonts w:ascii="微软雅黑" w:eastAsia="微软雅黑" w:hAnsi="Times New Roman" w:cs="微软雅黑"/>
              </w:rPr>
              <w:t xml:space="preserve"> </w:t>
            </w:r>
          </w:p>
        </w:tc>
        <w:tc>
          <w:tcPr>
            <w:tcW w:w="5712"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2,345,279,450.25</w:t>
            </w: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减：报告期期间理财产品总赎回份额</w:t>
            </w:r>
          </w:p>
        </w:tc>
        <w:tc>
          <w:tcPr>
            <w:tcW w:w="5712"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2,434,052,452.53</w:t>
            </w:r>
          </w:p>
        </w:tc>
      </w:tr>
      <w:tr w:rsidR="003A51D3" w:rsidTr="000A6EEF">
        <w:tblPrEx>
          <w:tblCellMar>
            <w:top w:w="0" w:type="dxa"/>
            <w:bottom w:w="0" w:type="dxa"/>
          </w:tblCellMar>
        </w:tblPrEx>
        <w:trPr>
          <w:trHeight w:hRule="exact" w:val="66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5F5F5"/>
            <w:vAlign w:val="center"/>
          </w:tcPr>
          <w:p w:rsidR="003A51D3" w:rsidRDefault="003A51D3" w:rsidP="000A6EEF">
            <w:pPr>
              <w:spacing w:line="330" w:lineRule="exact"/>
              <w:ind w:left="120"/>
              <w:rPr>
                <w:rFonts w:ascii="微软雅黑" w:eastAsia="微软雅黑" w:hAnsi="Times New Roman" w:cs="微软雅黑"/>
              </w:rPr>
            </w:pPr>
            <w:r>
              <w:rPr>
                <w:rFonts w:ascii="微软雅黑" w:eastAsia="微软雅黑" w:hAnsi="Times New Roman" w:cs="微软雅黑" w:hint="eastAsia"/>
              </w:rPr>
              <w:t>报告期期间理财产品拆分变动份额（份额减少以“</w:t>
            </w:r>
            <w:r>
              <w:rPr>
                <w:rFonts w:ascii="微软雅黑" w:eastAsia="微软雅黑" w:hAnsi="Times New Roman" w:cs="微软雅黑"/>
              </w:rPr>
              <w:t>-</w:t>
            </w:r>
            <w:r>
              <w:rPr>
                <w:rFonts w:ascii="微软雅黑" w:eastAsia="微软雅黑" w:hAnsi="Times New Roman" w:cs="微软雅黑" w:hint="eastAsia"/>
              </w:rPr>
              <w:t>”填列）</w:t>
            </w:r>
            <w:r>
              <w:rPr>
                <w:rFonts w:ascii="微软雅黑" w:eastAsia="微软雅黑" w:hAnsi="Times New Roman" w:cs="微软雅黑"/>
              </w:rPr>
              <w:t xml:space="preserve"> </w:t>
            </w:r>
          </w:p>
        </w:tc>
        <w:tc>
          <w:tcPr>
            <w:tcW w:w="5712"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4896"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报告期期末理财产品份额总额</w:t>
            </w:r>
            <w:r>
              <w:rPr>
                <w:rFonts w:ascii="微软雅黑" w:eastAsia="微软雅黑" w:hAnsi="Times New Roman" w:cs="微软雅黑"/>
              </w:rPr>
              <w:t xml:space="preserve"> </w:t>
            </w:r>
          </w:p>
        </w:tc>
        <w:tc>
          <w:tcPr>
            <w:tcW w:w="5712"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1,147,644,551.87</w:t>
            </w:r>
          </w:p>
        </w:tc>
      </w:tr>
      <w:tr w:rsidR="003A51D3" w:rsidTr="000A6EEF">
        <w:tblPrEx>
          <w:tblCellMar>
            <w:top w:w="0" w:type="dxa"/>
            <w:bottom w:w="0" w:type="dxa"/>
          </w:tblCellMar>
        </w:tblPrEx>
        <w:trPr>
          <w:trHeight w:hRule="exact" w:val="660"/>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注：如理财产品成立日晚于报告期期初，则以理财产品成立日的理财产品份额总额作为报告期期初理财产品份额总额。</w:t>
            </w:r>
          </w:p>
        </w:tc>
      </w:tr>
      <w:tr w:rsidR="003A51D3" w:rsidTr="000A6EEF">
        <w:tblPrEx>
          <w:tblCellMar>
            <w:top w:w="0" w:type="dxa"/>
            <w:bottom w:w="0" w:type="dxa"/>
          </w:tblCellMar>
        </w:tblPrEx>
        <w:trPr>
          <w:trHeight w:hRule="exact" w:val="285"/>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6"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第六章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风险分析</w:t>
            </w:r>
          </w:p>
        </w:tc>
      </w:tr>
      <w:tr w:rsidR="003A51D3" w:rsidTr="000A6EEF">
        <w:tblPrEx>
          <w:tblCellMar>
            <w:top w:w="0" w:type="dxa"/>
            <w:bottom w:w="0" w:type="dxa"/>
          </w:tblCellMar>
        </w:tblPrEx>
        <w:trPr>
          <w:trHeight w:hRule="exact" w:val="285"/>
        </w:trPr>
        <w:tc>
          <w:tcPr>
            <w:tcW w:w="396"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08" w:type="dxa"/>
            <w:gridSpan w:val="14"/>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bl>
    <w:p w:rsidR="003A51D3" w:rsidRDefault="003A51D3" w:rsidP="003A51D3">
      <w:pPr>
        <w:rPr>
          <w:rFonts w:ascii="Times New Roman" w:hAnsi="Times New Roman" w:cs="Times New Roman"/>
          <w:color w:val="auto"/>
          <w:sz w:val="2"/>
          <w:szCs w:val="2"/>
        </w:rPr>
      </w:pPr>
      <w:r>
        <w:rPr>
          <w:rFonts w:ascii="Times New Roman" w:hAnsi="Times New Roman" w:cs="Times New Roman"/>
          <w:color w:val="auto"/>
          <w:sz w:val="2"/>
          <w:szCs w:val="2"/>
        </w:rPr>
        <w:br w:type="page"/>
      </w:r>
    </w:p>
    <w:tbl>
      <w:tblPr>
        <w:tblW w:w="11009" w:type="dxa"/>
        <w:tblInd w:w="10" w:type="dxa"/>
        <w:tblLayout w:type="fixed"/>
        <w:tblCellMar>
          <w:left w:w="0" w:type="dxa"/>
          <w:right w:w="0" w:type="dxa"/>
        </w:tblCellMar>
        <w:tblLook w:val="0000" w:firstRow="0" w:lastRow="0" w:firstColumn="0" w:lastColumn="0" w:noHBand="0" w:noVBand="0"/>
      </w:tblPr>
      <w:tblGrid>
        <w:gridCol w:w="397"/>
        <w:gridCol w:w="816"/>
        <w:gridCol w:w="816"/>
        <w:gridCol w:w="1633"/>
        <w:gridCol w:w="1633"/>
        <w:gridCol w:w="816"/>
        <w:gridCol w:w="2041"/>
        <w:gridCol w:w="408"/>
        <w:gridCol w:w="2449"/>
      </w:tblGrid>
      <w:tr w:rsidR="003A51D3" w:rsidTr="000A6EEF">
        <w:tblPrEx>
          <w:tblCellMar>
            <w:top w:w="0" w:type="dxa"/>
            <w:bottom w:w="0" w:type="dxa"/>
          </w:tblCellMar>
        </w:tblPrEx>
        <w:trPr>
          <w:trHeight w:hRule="exact" w:val="2220"/>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1.</w:t>
            </w:r>
            <w:r>
              <w:rPr>
                <w:rFonts w:ascii="微软雅黑" w:eastAsia="微软雅黑" w:hAnsi="Times New Roman" w:cs="微软雅黑" w:hint="eastAsia"/>
              </w:rPr>
              <w:t>理财投资组合流动性风险分析</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本产品投资运营过程中，管理人综合考虑了资产流动性、产品赎回压力和负债到期情况，采用了合理的流动性管理手段，流动性风险总体可控。</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2.</w:t>
            </w:r>
            <w:r>
              <w:rPr>
                <w:rFonts w:ascii="微软雅黑" w:eastAsia="微软雅黑" w:hAnsi="Times New Roman" w:cs="微软雅黑" w:hint="eastAsia"/>
              </w:rPr>
              <w:t>理财投资组合其他风险分析</w:t>
            </w:r>
          </w:p>
          <w:p w:rsidR="003A51D3" w:rsidRDefault="003A51D3" w:rsidP="000A6EEF">
            <w:pPr>
              <w:spacing w:line="316" w:lineRule="exact"/>
              <w:rPr>
                <w:rFonts w:ascii="微软雅黑" w:eastAsia="微软雅黑" w:hAnsi="Times New Roman" w:cs="微软雅黑"/>
              </w:rPr>
            </w:pPr>
            <w:r>
              <w:rPr>
                <w:rFonts w:ascii="微软雅黑" w:eastAsia="微软雅黑" w:hAnsi="Times New Roman" w:cs="微软雅黑"/>
              </w:rPr>
              <w:t>     </w:t>
            </w:r>
            <w:r>
              <w:rPr>
                <w:rFonts w:ascii="微软雅黑" w:eastAsia="微软雅黑" w:hAnsi="Times New Roman" w:cs="微软雅黑"/>
              </w:rPr>
              <w:t xml:space="preserve"> </w:t>
            </w:r>
            <w:r>
              <w:rPr>
                <w:rFonts w:ascii="微软雅黑" w:eastAsia="微软雅黑" w:hAnsi="Times New Roman" w:cs="微软雅黑" w:hint="eastAsia"/>
              </w:rPr>
              <w:t>本产品投资运营过程中，管理人对产品的信用风险、市场风险、法律合</w:t>
            </w:r>
            <w:proofErr w:type="gramStart"/>
            <w:r>
              <w:rPr>
                <w:rFonts w:ascii="微软雅黑" w:eastAsia="微软雅黑" w:hAnsi="Times New Roman" w:cs="微软雅黑" w:hint="eastAsia"/>
              </w:rPr>
              <w:t>规</w:t>
            </w:r>
            <w:proofErr w:type="gramEnd"/>
            <w:r>
              <w:rPr>
                <w:rFonts w:ascii="微软雅黑" w:eastAsia="微软雅黑" w:hAnsi="Times New Roman" w:cs="微软雅黑" w:hint="eastAsia"/>
              </w:rPr>
              <w:t>风险等各类风险建立完善</w:t>
            </w:r>
            <w:proofErr w:type="gramStart"/>
            <w:r>
              <w:rPr>
                <w:rFonts w:ascii="微软雅黑" w:eastAsia="微软雅黑" w:hAnsi="Times New Roman" w:cs="微软雅黑" w:hint="eastAsia"/>
              </w:rPr>
              <w:t>的风控机制</w:t>
            </w:r>
            <w:proofErr w:type="gramEnd"/>
            <w:r>
              <w:rPr>
                <w:rFonts w:ascii="微软雅黑" w:eastAsia="微软雅黑" w:hAnsi="Times New Roman" w:cs="微软雅黑" w:hint="eastAsia"/>
              </w:rPr>
              <w:t>，相关风险总体可控。</w:t>
            </w:r>
          </w:p>
        </w:tc>
      </w:tr>
      <w:tr w:rsidR="003A51D3" w:rsidTr="000A6EEF">
        <w:tblPrEx>
          <w:tblCellMar>
            <w:top w:w="0" w:type="dxa"/>
            <w:bottom w:w="0" w:type="dxa"/>
          </w:tblCellMar>
        </w:tblPrEx>
        <w:trPr>
          <w:trHeight w:hRule="exact" w:val="285"/>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第七章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投资账户信息</w:t>
            </w:r>
          </w:p>
        </w:tc>
      </w:tr>
      <w:tr w:rsidR="003A51D3" w:rsidTr="000A6EEF">
        <w:tblPrEx>
          <w:tblCellMar>
            <w:top w:w="0" w:type="dxa"/>
            <w:bottom w:w="0" w:type="dxa"/>
          </w:tblCellMar>
        </w:tblPrEx>
        <w:trPr>
          <w:trHeight w:hRule="exact" w:val="285"/>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账户类型</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账户名称</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账户编号</w:t>
            </w:r>
          </w:p>
        </w:tc>
        <w:tc>
          <w:tcPr>
            <w:tcW w:w="244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开户单位</w:t>
            </w: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资金托管账户</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proofErr w:type="gramStart"/>
            <w:r>
              <w:rPr>
                <w:rFonts w:ascii="微软雅黑" w:eastAsia="微软雅黑" w:hAnsi="Times New Roman" w:cs="微软雅黑" w:hint="eastAsia"/>
              </w:rPr>
              <w:t>托管户</w:t>
            </w:r>
            <w:proofErr w:type="gramEnd"/>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0901010000000071</w:t>
            </w:r>
          </w:p>
        </w:tc>
        <w:tc>
          <w:tcPr>
            <w:tcW w:w="244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南京银行</w:t>
            </w:r>
          </w:p>
        </w:tc>
      </w:tr>
      <w:tr w:rsidR="003A51D3" w:rsidTr="000A6EEF">
        <w:tblPrEx>
          <w:tblCellMar>
            <w:top w:w="0" w:type="dxa"/>
            <w:bottom w:w="0" w:type="dxa"/>
          </w:tblCellMar>
        </w:tblPrEx>
        <w:trPr>
          <w:trHeight w:hRule="exact" w:val="283"/>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453"/>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jc w:val="center"/>
              <w:rPr>
                <w:rFonts w:ascii="微软雅黑" w:eastAsia="微软雅黑" w:hAnsi="Times New Roman" w:cs="微软雅黑"/>
                <w:sz w:val="28"/>
                <w:szCs w:val="28"/>
              </w:rPr>
            </w:pPr>
            <w:r>
              <w:rPr>
                <w:rFonts w:ascii="微软雅黑" w:eastAsia="微软雅黑" w:hAnsi="Times New Roman" w:cs="微软雅黑" w:hint="eastAsia"/>
                <w:b/>
                <w:bCs/>
                <w:sz w:val="28"/>
                <w:szCs w:val="28"/>
              </w:rPr>
              <w:t>第八章</w:t>
            </w:r>
            <w:r>
              <w:rPr>
                <w:rFonts w:ascii="微软雅黑" w:eastAsia="微软雅黑" w:hAnsi="Times New Roman" w:cs="微软雅黑"/>
                <w:b/>
                <w:bCs/>
                <w:sz w:val="28"/>
                <w:szCs w:val="28"/>
              </w:rPr>
              <w:t xml:space="preserve"> </w:t>
            </w:r>
            <w:r>
              <w:rPr>
                <w:rFonts w:ascii="微软雅黑" w:eastAsia="微软雅黑" w:hAnsi="Times New Roman" w:cs="微软雅黑" w:hint="eastAsia"/>
                <w:b/>
                <w:bCs/>
                <w:sz w:val="28"/>
                <w:szCs w:val="28"/>
              </w:rPr>
              <w:t>影响投资者决策的其他重要信息</w:t>
            </w:r>
          </w:p>
        </w:tc>
      </w:tr>
      <w:tr w:rsidR="003A51D3" w:rsidTr="000A6EEF">
        <w:tblPrEx>
          <w:tblCellMar>
            <w:top w:w="0" w:type="dxa"/>
            <w:bottom w:w="0" w:type="dxa"/>
          </w:tblCellMar>
        </w:tblPrEx>
        <w:trPr>
          <w:trHeight w:hRule="exact" w:val="285"/>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8.1 </w:t>
            </w:r>
            <w:r>
              <w:rPr>
                <w:rFonts w:ascii="微软雅黑" w:eastAsia="微软雅黑" w:hAnsi="Times New Roman" w:cs="微软雅黑" w:hint="eastAsia"/>
                <w:b/>
                <w:bCs/>
                <w:sz w:val="28"/>
                <w:szCs w:val="28"/>
              </w:rPr>
              <w:t>现金管理类理财产品前十名投资者情况</w:t>
            </w:r>
          </w:p>
        </w:tc>
      </w:tr>
      <w:tr w:rsidR="003A51D3" w:rsidTr="000A6EEF">
        <w:tblPrEx>
          <w:tblCellMar>
            <w:top w:w="0" w:type="dxa"/>
            <w:bottom w:w="0" w:type="dxa"/>
          </w:tblCellMar>
        </w:tblPrEx>
        <w:trPr>
          <w:trHeight w:hRule="exact" w:val="793"/>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投资者类别</w:t>
            </w: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期末持有份额</w:t>
            </w: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占总份额比例</w:t>
            </w: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2</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3</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4</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5</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6</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7</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8</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9</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632"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10</w:t>
            </w:r>
          </w:p>
        </w:tc>
        <w:tc>
          <w:tcPr>
            <w:tcW w:w="3266"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85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285"/>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8.2 </w:t>
            </w:r>
            <w:r>
              <w:rPr>
                <w:rFonts w:ascii="微软雅黑" w:eastAsia="微软雅黑" w:hAnsi="Times New Roman" w:cs="微软雅黑" w:hint="eastAsia"/>
                <w:b/>
                <w:bCs/>
                <w:sz w:val="28"/>
                <w:szCs w:val="28"/>
              </w:rPr>
              <w:t>现金管理类理财产品持有份额不低于</w:t>
            </w:r>
            <w:r>
              <w:rPr>
                <w:rFonts w:ascii="微软雅黑" w:eastAsia="微软雅黑" w:hAnsi="Times New Roman" w:cs="微软雅黑"/>
                <w:b/>
                <w:bCs/>
                <w:sz w:val="28"/>
                <w:szCs w:val="28"/>
              </w:rPr>
              <w:t>20%</w:t>
            </w:r>
            <w:r>
              <w:rPr>
                <w:rFonts w:ascii="微软雅黑" w:eastAsia="微软雅黑" w:hAnsi="Times New Roman" w:cs="微软雅黑" w:hint="eastAsia"/>
                <w:b/>
                <w:bCs/>
                <w:sz w:val="28"/>
                <w:szCs w:val="28"/>
              </w:rPr>
              <w:t>投资者情况</w:t>
            </w:r>
          </w:p>
        </w:tc>
      </w:tr>
      <w:tr w:rsidR="003A51D3" w:rsidTr="000A6EEF">
        <w:tblPrEx>
          <w:tblCellMar>
            <w:top w:w="0" w:type="dxa"/>
            <w:bottom w:w="0" w:type="dxa"/>
          </w:tblCellMar>
        </w:tblPrEx>
        <w:trPr>
          <w:trHeight w:hRule="exact" w:val="660"/>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序号</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投资者类别</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期末持有份额</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占总份额比例</w:t>
            </w:r>
          </w:p>
        </w:tc>
        <w:tc>
          <w:tcPr>
            <w:tcW w:w="244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hint="eastAsia"/>
              </w:rPr>
              <w:t>报告期内持有份额变化情况</w:t>
            </w: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81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spacing w:line="330" w:lineRule="exact"/>
              <w:ind w:left="20"/>
              <w:jc w:val="center"/>
              <w:rPr>
                <w:rFonts w:ascii="微软雅黑" w:eastAsia="微软雅黑" w:hAnsi="Times New Roman" w:cs="微软雅黑"/>
              </w:rPr>
            </w:pPr>
            <w:r>
              <w:rPr>
                <w:rFonts w:ascii="微软雅黑" w:eastAsia="微软雅黑" w:hAnsi="Times New Roman" w:cs="微软雅黑"/>
              </w:rPr>
              <w:t>1</w:t>
            </w: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449"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c>
          <w:tcPr>
            <w:tcW w:w="2449"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3A51D3" w:rsidRDefault="003A51D3" w:rsidP="000A6EEF">
            <w:pPr>
              <w:jc w:val="center"/>
              <w:rPr>
                <w:rFonts w:ascii="Times New Roman" w:hAnsi="Times New Roman" w:cs="Times New Roman"/>
                <w:color w:val="auto"/>
              </w:rPr>
            </w:pPr>
          </w:p>
        </w:tc>
      </w:tr>
      <w:tr w:rsidR="003A51D3" w:rsidTr="000A6EEF">
        <w:tblPrEx>
          <w:tblCellMar>
            <w:top w:w="0" w:type="dxa"/>
            <w:bottom w:w="0" w:type="dxa"/>
          </w:tblCellMar>
        </w:tblPrEx>
        <w:trPr>
          <w:trHeight w:hRule="exact" w:val="285"/>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rPr>
                <w:rFonts w:ascii="Times New Roman" w:hAnsi="Times New Roman" w:cs="Times New Roman"/>
                <w:color w:val="auto"/>
              </w:rPr>
            </w:pPr>
          </w:p>
        </w:tc>
      </w:tr>
      <w:tr w:rsidR="003A51D3" w:rsidTr="000A6EEF">
        <w:tblPrEx>
          <w:tblCellMar>
            <w:top w:w="0" w:type="dxa"/>
            <w:bottom w:w="0" w:type="dxa"/>
          </w:tblCellMar>
        </w:tblPrEx>
        <w:trPr>
          <w:trHeight w:hRule="exact" w:val="510"/>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75" w:lineRule="exact"/>
              <w:ind w:left="20"/>
              <w:rPr>
                <w:rFonts w:ascii="微软雅黑" w:eastAsia="微软雅黑" w:hAnsi="Times New Roman" w:cs="微软雅黑"/>
                <w:sz w:val="28"/>
                <w:szCs w:val="28"/>
              </w:rPr>
            </w:pPr>
            <w:r>
              <w:rPr>
                <w:rFonts w:ascii="微软雅黑" w:eastAsia="微软雅黑" w:hAnsi="Times New Roman" w:cs="微软雅黑"/>
                <w:b/>
                <w:bCs/>
                <w:sz w:val="28"/>
                <w:szCs w:val="28"/>
              </w:rPr>
              <w:t xml:space="preserve">8.3 </w:t>
            </w:r>
            <w:r>
              <w:rPr>
                <w:rFonts w:ascii="微软雅黑" w:eastAsia="微软雅黑" w:hAnsi="Times New Roman" w:cs="微软雅黑" w:hint="eastAsia"/>
                <w:b/>
                <w:bCs/>
                <w:sz w:val="28"/>
                <w:szCs w:val="28"/>
              </w:rPr>
              <w:t>影响投资者决策的其他重要信息</w:t>
            </w:r>
          </w:p>
        </w:tc>
      </w:tr>
      <w:tr w:rsidR="003A51D3" w:rsidTr="000A6EEF">
        <w:tblPrEx>
          <w:tblCellMar>
            <w:top w:w="0" w:type="dxa"/>
            <w:bottom w:w="0" w:type="dxa"/>
          </w:tblCellMar>
        </w:tblPrEx>
        <w:trPr>
          <w:trHeight w:hRule="exact" w:val="566"/>
        </w:trPr>
        <w:tc>
          <w:tcPr>
            <w:tcW w:w="397" w:type="dxa"/>
            <w:tcBorders>
              <w:top w:val="single" w:sz="8" w:space="0" w:color="FFFFFF"/>
              <w:left w:val="single" w:sz="8" w:space="0" w:color="FFFFFF"/>
              <w:bottom w:val="single" w:sz="8" w:space="0" w:color="FFFFFF"/>
              <w:right w:val="single" w:sz="8" w:space="0" w:color="FFFFFF"/>
            </w:tcBorders>
            <w:shd w:val="clear" w:color="auto" w:fill="FFFFFF"/>
            <w:vAlign w:val="center"/>
          </w:tcPr>
          <w:p w:rsidR="003A51D3" w:rsidRDefault="003A51D3" w:rsidP="000A6EEF">
            <w:pPr>
              <w:rPr>
                <w:rFonts w:ascii="Times New Roman" w:hAnsi="Times New Roman" w:cs="Times New Roman"/>
                <w:color w:val="auto"/>
              </w:rPr>
            </w:pPr>
          </w:p>
        </w:tc>
        <w:tc>
          <w:tcPr>
            <w:tcW w:w="10612" w:type="dxa"/>
            <w:gridSpan w:val="8"/>
            <w:tcBorders>
              <w:top w:val="single" w:sz="4" w:space="0" w:color="FFFFFF"/>
              <w:left w:val="single" w:sz="4" w:space="0" w:color="FFFFFF"/>
              <w:bottom w:val="single" w:sz="4" w:space="0" w:color="FFFFFF"/>
              <w:right w:val="single" w:sz="4" w:space="0" w:color="FFFFFF"/>
            </w:tcBorders>
            <w:shd w:val="clear" w:color="auto" w:fill="FFFFFF"/>
            <w:vAlign w:val="center"/>
          </w:tcPr>
          <w:p w:rsidR="003A51D3" w:rsidRDefault="003A51D3" w:rsidP="000A6EEF">
            <w:pPr>
              <w:spacing w:line="330" w:lineRule="exact"/>
              <w:ind w:left="20"/>
              <w:rPr>
                <w:rFonts w:ascii="微软雅黑" w:eastAsia="微软雅黑" w:hAnsi="Times New Roman" w:cs="微软雅黑"/>
              </w:rPr>
            </w:pPr>
            <w:r>
              <w:rPr>
                <w:rFonts w:ascii="微软雅黑" w:eastAsia="微软雅黑" w:hAnsi="Times New Roman" w:cs="微软雅黑" w:hint="eastAsia"/>
              </w:rPr>
              <w:t>无。</w:t>
            </w:r>
          </w:p>
        </w:tc>
      </w:tr>
    </w:tbl>
    <w:p w:rsidR="003A51D3" w:rsidRDefault="003A51D3" w:rsidP="003A51D3"/>
    <w:p w:rsidR="003A51D3" w:rsidRDefault="003A51D3" w:rsidP="003A51D3">
      <w:pPr>
        <w:ind w:right="560"/>
        <w:jc w:val="right"/>
        <w:rPr>
          <w:rFonts w:ascii="微软雅黑" w:eastAsia="微软雅黑" w:hAnsi="微软雅黑"/>
          <w:sz w:val="28"/>
          <w:szCs w:val="28"/>
        </w:rPr>
      </w:pPr>
      <w:r>
        <w:rPr>
          <w:rFonts w:ascii="微软雅黑" w:eastAsia="微软雅黑" w:hAnsi="微软雅黑" w:hint="eastAsia"/>
          <w:sz w:val="28"/>
          <w:szCs w:val="28"/>
        </w:rPr>
        <w:t>江苏太仓农村商业银行股份有限公司</w:t>
      </w:r>
    </w:p>
    <w:p w:rsidR="003A51D3" w:rsidRDefault="003A51D3" w:rsidP="003A51D3">
      <w:pPr>
        <w:ind w:firstLineChars="2300" w:firstLine="6440"/>
      </w:pPr>
      <w:r>
        <w:rPr>
          <w:rFonts w:ascii="微软雅黑" w:eastAsia="微软雅黑" w:hAnsi="微软雅黑" w:hint="eastAsia"/>
          <w:sz w:val="28"/>
          <w:szCs w:val="28"/>
        </w:rPr>
        <w:t xml:space="preserve">        </w:t>
      </w:r>
      <w:bookmarkStart w:id="1" w:name="_GoBack"/>
      <w:bookmarkEnd w:id="1"/>
      <w:r>
        <w:rPr>
          <w:rFonts w:ascii="微软雅黑" w:eastAsia="微软雅黑" w:hAnsi="微软雅黑" w:hint="eastAsia"/>
          <w:sz w:val="28"/>
          <w:szCs w:val="28"/>
        </w:rPr>
        <w:t>2025年03月14日</w:t>
      </w:r>
    </w:p>
    <w:p w:rsidR="00FA2C35" w:rsidRDefault="003A51D3"/>
    <w:sectPr w:rsidR="00FA2C35">
      <w:pgSz w:w="13606" w:h="15840"/>
      <w:pgMar w:top="388" w:right="1080" w:bottom="388"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1D3"/>
    <w:rsid w:val="000175A2"/>
    <w:rsid w:val="00081B5A"/>
    <w:rsid w:val="003A5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74C83"/>
  <w15:chartTrackingRefBased/>
  <w15:docId w15:val="{AC7AD183-A7A3-40B6-AB8F-990161316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51D3"/>
    <w:pPr>
      <w:widowControl w:val="0"/>
      <w:autoSpaceDE w:val="0"/>
      <w:autoSpaceDN w:val="0"/>
      <w:adjustRightInd w:val="0"/>
    </w:pPr>
    <w:rPr>
      <w:rFonts w:ascii="Arial"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529</Words>
  <Characters>3021</Characters>
  <Application>Microsoft Office Word</Application>
  <DocSecurity>0</DocSecurity>
  <Lines>25</Lines>
  <Paragraphs>7</Paragraphs>
  <ScaleCrop>false</ScaleCrop>
  <Company>Lenovo</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顾敏菊</dc:creator>
  <cp:keywords/>
  <dc:description/>
  <cp:lastModifiedBy>顾敏菊</cp:lastModifiedBy>
  <cp:revision>1</cp:revision>
  <dcterms:created xsi:type="dcterms:W3CDTF">2025-03-14T07:28:00Z</dcterms:created>
  <dcterms:modified xsi:type="dcterms:W3CDTF">2025-03-14T07:31:00Z</dcterms:modified>
</cp:coreProperties>
</file>