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10B3" w:rsidRDefault="00B95979">
      <w:pPr>
        <w:jc w:val="center"/>
        <w:rPr>
          <w:rFonts w:ascii="微软雅黑" w:eastAsia="微软雅黑" w:hAnsi="微软雅黑"/>
          <w:b/>
          <w:bCs/>
          <w:sz w:val="32"/>
          <w:szCs w:val="32"/>
        </w:rPr>
      </w:pPr>
      <w:r>
        <w:rPr>
          <w:rFonts w:ascii="微软雅黑" w:eastAsia="微软雅黑" w:hAnsi="微软雅黑" w:hint="eastAsia"/>
          <w:b/>
          <w:bCs/>
          <w:sz w:val="32"/>
          <w:szCs w:val="32"/>
        </w:rPr>
        <w:t>江苏太仓农村商业银行“惠享利1号”定期开放净值型人民币理财产品</w:t>
      </w:r>
    </w:p>
    <w:p w:rsidR="00E310B3" w:rsidRDefault="00B95979">
      <w:pPr>
        <w:jc w:val="center"/>
        <w:rPr>
          <w:rFonts w:ascii="微软雅黑" w:eastAsia="微软雅黑" w:hAnsi="微软雅黑"/>
          <w:b/>
          <w:bCs/>
          <w:sz w:val="28"/>
          <w:szCs w:val="28"/>
        </w:rPr>
      </w:pPr>
      <w:r>
        <w:rPr>
          <w:rFonts w:ascii="微软雅黑" w:eastAsia="微软雅黑" w:hAnsi="微软雅黑" w:hint="eastAsia"/>
          <w:b/>
          <w:bCs/>
          <w:sz w:val="32"/>
          <w:szCs w:val="32"/>
        </w:rPr>
        <w:t>2024年年度报告</w:t>
      </w:r>
    </w:p>
    <w:p w:rsidR="00E310B3" w:rsidRDefault="00E310B3">
      <w:pPr>
        <w:rPr>
          <w:rFonts w:ascii="微软雅黑" w:eastAsia="微软雅黑" w:hAnsi="微软雅黑"/>
          <w:b/>
          <w:bCs/>
          <w:sz w:val="28"/>
          <w:szCs w:val="28"/>
        </w:rPr>
      </w:pPr>
    </w:p>
    <w:p w:rsidR="00E310B3" w:rsidRDefault="00E310B3">
      <w:pPr>
        <w:rPr>
          <w:rFonts w:ascii="微软雅黑" w:eastAsia="微软雅黑" w:hAnsi="微软雅黑"/>
          <w:b/>
          <w:bCs/>
          <w:sz w:val="28"/>
          <w:szCs w:val="28"/>
        </w:rPr>
      </w:pPr>
    </w:p>
    <w:p w:rsidR="00E310B3" w:rsidRDefault="00B95979">
      <w:pPr>
        <w:rPr>
          <w:rFonts w:ascii="微软雅黑" w:eastAsia="微软雅黑" w:hAnsi="微软雅黑"/>
          <w:b/>
          <w:bCs/>
          <w:sz w:val="28"/>
          <w:szCs w:val="28"/>
        </w:rPr>
      </w:pPr>
      <w:r>
        <w:rPr>
          <w:rFonts w:ascii="微软雅黑" w:eastAsia="微软雅黑" w:hAnsi="微软雅黑" w:hint="eastAsia"/>
          <w:b/>
          <w:bCs/>
          <w:sz w:val="28"/>
          <w:szCs w:val="28"/>
        </w:rPr>
        <w:t>一、重要提示</w:t>
      </w:r>
    </w:p>
    <w:p w:rsidR="00E310B3" w:rsidRDefault="00B95979">
      <w:pPr>
        <w:pStyle w:val="1"/>
        <w:ind w:firstLine="480"/>
        <w:rPr>
          <w:rFonts w:ascii="微软雅黑" w:eastAsia="微软雅黑" w:hAnsi="微软雅黑" w:cs="Calibri"/>
          <w:sz w:val="24"/>
          <w:szCs w:val="24"/>
        </w:rPr>
      </w:pPr>
      <w:r>
        <w:rPr>
          <w:rFonts w:ascii="微软雅黑" w:eastAsia="微软雅黑" w:hAnsi="微软雅黑" w:cs="Calibri" w:hint="eastAsia"/>
          <w:sz w:val="24"/>
          <w:szCs w:val="24"/>
        </w:rPr>
        <w:t>产品管理人承诺以诚实信用、勤勉尽责的原则管理和运用产品资产，但不保证产品一定盈利。</w:t>
      </w:r>
    </w:p>
    <w:p w:rsidR="00E310B3" w:rsidRDefault="00B95979">
      <w:pPr>
        <w:ind w:firstLine="480"/>
        <w:rPr>
          <w:rFonts w:ascii="微软雅黑" w:eastAsia="微软雅黑" w:hAnsi="微软雅黑"/>
          <w:sz w:val="24"/>
          <w:szCs w:val="24"/>
        </w:rPr>
      </w:pPr>
      <w:r>
        <w:rPr>
          <w:rFonts w:ascii="微软雅黑" w:eastAsia="微软雅黑" w:hAnsi="微软雅黑" w:hint="eastAsia"/>
          <w:sz w:val="24"/>
          <w:szCs w:val="24"/>
        </w:rPr>
        <w:t>产品的过往业绩并不代表其未来表现。投资有风险，投资者在做出投资决策前应仔细阅读本产品的销售文件。</w:t>
      </w:r>
    </w:p>
    <w:p w:rsidR="00E310B3" w:rsidRDefault="00B95979">
      <w:pPr>
        <w:pStyle w:val="1"/>
        <w:rPr>
          <w:rFonts w:ascii="微软雅黑" w:eastAsia="微软雅黑" w:hAnsi="微软雅黑" w:cs="Calibri"/>
          <w:sz w:val="24"/>
          <w:szCs w:val="24"/>
        </w:rPr>
      </w:pPr>
      <w:r>
        <w:rPr>
          <w:rFonts w:ascii="微软雅黑" w:eastAsia="微软雅黑" w:hAnsi="微软雅黑" w:cs="Calibri" w:hint="eastAsia"/>
          <w:sz w:val="24"/>
          <w:szCs w:val="24"/>
        </w:rPr>
        <w:t>本报告中财务资料未经审计。</w:t>
      </w:r>
    </w:p>
    <w:p w:rsidR="00E310B3" w:rsidRDefault="00B95979">
      <w:pPr>
        <w:pStyle w:val="1"/>
        <w:ind w:firstLine="0"/>
        <w:rPr>
          <w:rFonts w:ascii="微软雅黑" w:eastAsia="微软雅黑" w:hAnsi="微软雅黑"/>
          <w:b/>
          <w:bCs/>
          <w:sz w:val="28"/>
          <w:szCs w:val="28"/>
        </w:rPr>
      </w:pPr>
      <w:r>
        <w:rPr>
          <w:rFonts w:ascii="微软雅黑" w:eastAsia="微软雅黑" w:hAnsi="微软雅黑" w:hint="eastAsia"/>
          <w:b/>
          <w:bCs/>
          <w:sz w:val="28"/>
          <w:szCs w:val="28"/>
        </w:rPr>
        <w:t>二、产品概况</w:t>
      </w:r>
    </w:p>
    <w:tbl>
      <w:tblPr>
        <w:tblW w:w="9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5"/>
        <w:gridCol w:w="5685"/>
      </w:tblGrid>
      <w:tr w:rsidR="00E310B3">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产品名称</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“惠享利1号”定期开放净值型人民币理财产品</w:t>
            </w:r>
          </w:p>
        </w:tc>
      </w:tr>
      <w:tr w:rsidR="00E310B3">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产品代码</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19HXL01-1M</w:t>
            </w:r>
          </w:p>
        </w:tc>
      </w:tr>
      <w:tr w:rsidR="00E310B3">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产品登记编码</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C1115719000058</w:t>
            </w:r>
          </w:p>
        </w:tc>
      </w:tr>
      <w:tr w:rsidR="00E310B3">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产品成立日</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2019年07月10日</w:t>
            </w:r>
          </w:p>
        </w:tc>
      </w:tr>
      <w:tr w:rsidR="00E310B3">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风险等级</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二级(中低)</w:t>
            </w:r>
          </w:p>
        </w:tc>
      </w:tr>
      <w:tr w:rsidR="00E310B3">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报告期末产品份额总额</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290,400,000.00</w:t>
            </w:r>
          </w:p>
        </w:tc>
      </w:tr>
      <w:tr w:rsidR="00E310B3">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产品管理人</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江苏太仓农村商业银行股份有限公司</w:t>
            </w:r>
          </w:p>
        </w:tc>
      </w:tr>
      <w:tr w:rsidR="00E310B3">
        <w:trPr>
          <w:trHeight w:val="480"/>
        </w:trPr>
        <w:tc>
          <w:tcPr>
            <w:tcW w:w="39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产品托管人</w:t>
            </w:r>
          </w:p>
        </w:tc>
        <w:tc>
          <w:tcPr>
            <w:tcW w:w="568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江苏银行股份有限公司</w:t>
            </w:r>
          </w:p>
        </w:tc>
      </w:tr>
    </w:tbl>
    <w:p w:rsidR="00E310B3" w:rsidRDefault="00E310B3">
      <w:pPr>
        <w:rPr>
          <w:rFonts w:ascii="微软雅黑" w:eastAsia="微软雅黑" w:hAnsi="微软雅黑"/>
          <w:b/>
          <w:bCs/>
          <w:sz w:val="28"/>
          <w:szCs w:val="28"/>
        </w:rPr>
      </w:pPr>
    </w:p>
    <w:p w:rsidR="00E310B3" w:rsidRDefault="00B95979">
      <w:pPr>
        <w:rPr>
          <w:rFonts w:ascii="微软雅黑" w:eastAsia="微软雅黑" w:hAnsi="微软雅黑" w:cs="Times New Roman"/>
          <w:b/>
          <w:bCs/>
          <w:sz w:val="28"/>
          <w:szCs w:val="28"/>
        </w:rPr>
      </w:pPr>
      <w:r>
        <w:rPr>
          <w:rFonts w:ascii="微软雅黑" w:eastAsia="微软雅黑" w:hAnsi="微软雅黑" w:hint="eastAsia"/>
          <w:b/>
          <w:bCs/>
          <w:sz w:val="28"/>
          <w:szCs w:val="28"/>
        </w:rPr>
        <w:t>三、产品净值表现</w:t>
      </w:r>
    </w:p>
    <w:tbl>
      <w:tblPr>
        <w:tblW w:w="49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8"/>
        <w:gridCol w:w="5777"/>
      </w:tblGrid>
      <w:tr w:rsidR="00E310B3">
        <w:trPr>
          <w:trHeight w:val="90"/>
        </w:trPr>
        <w:tc>
          <w:tcPr>
            <w:tcW w:w="3988" w:type="dxa"/>
            <w:tcBorders>
              <w:top w:val="single" w:sz="4" w:space="0" w:color="auto"/>
              <w:left w:val="single" w:sz="4" w:space="0" w:color="auto"/>
              <w:bottom w:val="single" w:sz="4" w:space="0" w:color="auto"/>
              <w:right w:val="single" w:sz="4" w:space="0" w:color="auto"/>
            </w:tcBorders>
            <w:vAlign w:val="center"/>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产品净值表现</w:t>
            </w:r>
          </w:p>
        </w:tc>
        <w:tc>
          <w:tcPr>
            <w:tcW w:w="5778" w:type="dxa"/>
            <w:tcBorders>
              <w:top w:val="single" w:sz="4" w:space="0" w:color="auto"/>
              <w:left w:val="nil"/>
              <w:bottom w:val="single" w:sz="4" w:space="0" w:color="auto"/>
              <w:right w:val="single" w:sz="4" w:space="0" w:color="auto"/>
            </w:tcBorders>
          </w:tcPr>
          <w:p w:rsidR="00E310B3" w:rsidRDefault="00B95979">
            <w:pPr>
              <w:pStyle w:val="1"/>
              <w:ind w:firstLineChars="1000" w:firstLine="2400"/>
              <w:rPr>
                <w:rStyle w:val="10"/>
                <w:rFonts w:ascii="微软雅黑" w:eastAsia="微软雅黑" w:hAnsi="微软雅黑"/>
                <w:sz w:val="24"/>
                <w:szCs w:val="24"/>
              </w:rPr>
            </w:pPr>
            <w:r>
              <w:rPr>
                <w:rFonts w:ascii="微软雅黑" w:eastAsia="微软雅黑" w:hAnsi="微软雅黑" w:hint="eastAsia"/>
                <w:sz w:val="24"/>
                <w:szCs w:val="24"/>
              </w:rPr>
              <w:t>报告期</w:t>
            </w:r>
          </w:p>
          <w:p w:rsidR="00E310B3" w:rsidRDefault="00B95979">
            <w:pPr>
              <w:pStyle w:val="1"/>
              <w:ind w:firstLineChars="100" w:firstLine="240"/>
              <w:rPr>
                <w:rStyle w:val="10"/>
                <w:rFonts w:ascii="微软雅黑" w:eastAsia="微软雅黑" w:hAnsi="微软雅黑"/>
                <w:sz w:val="24"/>
                <w:szCs w:val="24"/>
              </w:rPr>
            </w:pPr>
            <w:r>
              <w:rPr>
                <w:rFonts w:ascii="微软雅黑" w:eastAsia="微软雅黑" w:hAnsi="微软雅黑" w:hint="eastAsia"/>
                <w:sz w:val="24"/>
                <w:szCs w:val="24"/>
              </w:rPr>
              <w:t xml:space="preserve">2024年01月01日 </w:t>
            </w:r>
            <w:r>
              <w:rPr>
                <w:rFonts w:ascii="微软雅黑" w:eastAsia="微软雅黑" w:hAnsi="微软雅黑"/>
                <w:sz w:val="24"/>
                <w:szCs w:val="24"/>
              </w:rPr>
              <w:t>至</w:t>
            </w:r>
            <w:r>
              <w:rPr>
                <w:rFonts w:ascii="微软雅黑" w:eastAsia="微软雅黑" w:hAnsi="微软雅黑" w:hint="eastAsia"/>
                <w:sz w:val="24"/>
                <w:szCs w:val="24"/>
              </w:rPr>
              <w:t xml:space="preserve"> 2024年12月31日</w:t>
            </w:r>
          </w:p>
        </w:tc>
      </w:tr>
      <w:tr w:rsidR="00E310B3">
        <w:tc>
          <w:tcPr>
            <w:tcW w:w="398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1.期末产品资产净值</w:t>
            </w:r>
          </w:p>
        </w:tc>
        <w:tc>
          <w:tcPr>
            <w:tcW w:w="5778" w:type="dxa"/>
            <w:tcBorders>
              <w:top w:val="single" w:sz="4" w:space="0" w:color="auto"/>
              <w:left w:val="nil"/>
              <w:bottom w:val="single" w:sz="4" w:space="0" w:color="auto"/>
              <w:right w:val="single" w:sz="4" w:space="0" w:color="auto"/>
            </w:tcBorders>
          </w:tcPr>
          <w:p w:rsidR="00E310B3" w:rsidRDefault="00B95979">
            <w:pPr>
              <w:pStyle w:val="1"/>
              <w:ind w:firstLine="0"/>
              <w:jc w:val="right"/>
              <w:rPr>
                <w:rStyle w:val="10"/>
                <w:rFonts w:ascii="微软雅黑" w:eastAsia="微软雅黑" w:hAnsi="微软雅黑"/>
                <w:sz w:val="24"/>
                <w:szCs w:val="24"/>
              </w:rPr>
            </w:pPr>
            <w:r>
              <w:rPr>
                <w:rFonts w:ascii="微软雅黑" w:eastAsia="微软雅黑" w:hAnsi="微软雅黑" w:hint="eastAsia"/>
                <w:sz w:val="24"/>
                <w:szCs w:val="24"/>
              </w:rPr>
              <w:t>290,937,379.66</w:t>
            </w:r>
          </w:p>
        </w:tc>
      </w:tr>
      <w:tr w:rsidR="00E310B3">
        <w:tc>
          <w:tcPr>
            <w:tcW w:w="398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lastRenderedPageBreak/>
              <w:t>2.期末产品份额净值</w:t>
            </w:r>
          </w:p>
        </w:tc>
        <w:tc>
          <w:tcPr>
            <w:tcW w:w="5778" w:type="dxa"/>
            <w:tcBorders>
              <w:top w:val="single" w:sz="4" w:space="0" w:color="auto"/>
              <w:left w:val="nil"/>
              <w:bottom w:val="single" w:sz="4" w:space="0" w:color="auto"/>
              <w:right w:val="single" w:sz="4" w:space="0" w:color="auto"/>
            </w:tcBorders>
          </w:tcPr>
          <w:p w:rsidR="00E310B3" w:rsidRDefault="00B95979">
            <w:pPr>
              <w:pStyle w:val="1"/>
              <w:ind w:firstLine="0"/>
              <w:jc w:val="right"/>
              <w:rPr>
                <w:rStyle w:val="10"/>
                <w:rFonts w:ascii="微软雅黑" w:eastAsia="微软雅黑" w:hAnsi="微软雅黑"/>
                <w:sz w:val="24"/>
                <w:szCs w:val="24"/>
              </w:rPr>
            </w:pPr>
            <w:r>
              <w:rPr>
                <w:rFonts w:ascii="微软雅黑" w:eastAsia="微软雅黑" w:hAnsi="微软雅黑" w:hint="eastAsia"/>
                <w:sz w:val="24"/>
                <w:szCs w:val="24"/>
              </w:rPr>
              <w:t>1.00185048</w:t>
            </w:r>
          </w:p>
        </w:tc>
      </w:tr>
      <w:tr w:rsidR="00E310B3">
        <w:trPr>
          <w:trHeight w:val="384"/>
        </w:trPr>
        <w:tc>
          <w:tcPr>
            <w:tcW w:w="398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3.期末产品份额累计净值</w:t>
            </w:r>
          </w:p>
        </w:tc>
        <w:tc>
          <w:tcPr>
            <w:tcW w:w="5778" w:type="dxa"/>
            <w:tcBorders>
              <w:top w:val="single" w:sz="4" w:space="0" w:color="auto"/>
              <w:left w:val="nil"/>
              <w:bottom w:val="single" w:sz="4" w:space="0" w:color="auto"/>
              <w:right w:val="single" w:sz="4" w:space="0" w:color="auto"/>
            </w:tcBorders>
          </w:tcPr>
          <w:p w:rsidR="00E310B3" w:rsidRDefault="00B95979">
            <w:pPr>
              <w:pStyle w:val="1"/>
              <w:ind w:firstLine="0"/>
              <w:jc w:val="right"/>
              <w:rPr>
                <w:rStyle w:val="10"/>
                <w:rFonts w:ascii="微软雅黑" w:eastAsia="微软雅黑" w:hAnsi="微软雅黑"/>
                <w:sz w:val="24"/>
                <w:szCs w:val="24"/>
              </w:rPr>
            </w:pPr>
            <w:r>
              <w:rPr>
                <w:rFonts w:ascii="微软雅黑" w:eastAsia="微软雅黑" w:hAnsi="微软雅黑" w:hint="eastAsia"/>
                <w:sz w:val="24"/>
                <w:szCs w:val="24"/>
              </w:rPr>
              <w:t>1.18302386</w:t>
            </w:r>
          </w:p>
        </w:tc>
      </w:tr>
    </w:tbl>
    <w:p w:rsidR="00E310B3" w:rsidRDefault="00E310B3">
      <w:pPr>
        <w:rPr>
          <w:rFonts w:ascii="微软雅黑" w:eastAsia="微软雅黑" w:hAnsi="微软雅黑"/>
          <w:b/>
          <w:bCs/>
          <w:sz w:val="28"/>
          <w:szCs w:val="28"/>
        </w:rPr>
      </w:pPr>
    </w:p>
    <w:p w:rsidR="00E310B3" w:rsidRDefault="00B95979">
      <w:pPr>
        <w:rPr>
          <w:rFonts w:ascii="微软雅黑" w:eastAsia="微软雅黑" w:hAnsi="微软雅黑" w:cs="Times New Roman"/>
          <w:b/>
          <w:bCs/>
          <w:sz w:val="28"/>
          <w:szCs w:val="28"/>
        </w:rPr>
      </w:pPr>
      <w:r>
        <w:rPr>
          <w:rFonts w:ascii="微软雅黑" w:eastAsia="微软雅黑" w:hAnsi="微软雅黑" w:hint="eastAsia"/>
          <w:b/>
          <w:bCs/>
          <w:sz w:val="28"/>
          <w:szCs w:val="28"/>
        </w:rPr>
        <w:t>四、投资情况</w:t>
      </w:r>
    </w:p>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58"/>
        <w:gridCol w:w="2232"/>
        <w:gridCol w:w="1500"/>
        <w:gridCol w:w="2278"/>
        <w:gridCol w:w="1472"/>
      </w:tblGrid>
      <w:tr w:rsidR="00E310B3" w:rsidTr="00034267">
        <w:tc>
          <w:tcPr>
            <w:tcW w:w="2358" w:type="dxa"/>
            <w:vMerge w:val="restart"/>
            <w:tcBorders>
              <w:top w:val="single" w:sz="4" w:space="0" w:color="auto"/>
              <w:left w:val="single" w:sz="4" w:space="0" w:color="auto"/>
              <w:bottom w:val="single" w:sz="4" w:space="0" w:color="auto"/>
              <w:right w:val="single" w:sz="4" w:space="0" w:color="auto"/>
            </w:tcBorders>
            <w:vAlign w:val="center"/>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项</w:t>
            </w:r>
          </w:p>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目</w:t>
            </w:r>
          </w:p>
        </w:tc>
        <w:tc>
          <w:tcPr>
            <w:tcW w:w="3732" w:type="dxa"/>
            <w:gridSpan w:val="2"/>
            <w:tcBorders>
              <w:top w:val="single" w:sz="4" w:space="0" w:color="auto"/>
              <w:left w:val="nil"/>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直接投资</w:t>
            </w:r>
          </w:p>
        </w:tc>
        <w:tc>
          <w:tcPr>
            <w:tcW w:w="3750" w:type="dxa"/>
            <w:gridSpan w:val="2"/>
            <w:tcBorders>
              <w:top w:val="single" w:sz="4" w:space="0" w:color="auto"/>
              <w:left w:val="nil"/>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间接投资</w:t>
            </w:r>
          </w:p>
        </w:tc>
      </w:tr>
      <w:tr w:rsidR="00E310B3" w:rsidTr="00034267">
        <w:tc>
          <w:tcPr>
            <w:tcW w:w="2358" w:type="dxa"/>
            <w:vMerge/>
            <w:tcBorders>
              <w:top w:val="single" w:sz="4" w:space="0" w:color="auto"/>
              <w:left w:val="single" w:sz="4" w:space="0" w:color="auto"/>
              <w:bottom w:val="single" w:sz="4" w:space="0" w:color="auto"/>
              <w:right w:val="single" w:sz="4" w:space="0" w:color="auto"/>
            </w:tcBorders>
            <w:vAlign w:val="center"/>
          </w:tcPr>
          <w:p w:rsidR="00E310B3" w:rsidRDefault="00E310B3">
            <w:pPr>
              <w:widowControl/>
              <w:jc w:val="left"/>
              <w:rPr>
                <w:rStyle w:val="10"/>
                <w:rFonts w:ascii="微软雅黑" w:eastAsia="微软雅黑" w:hAnsi="微软雅黑"/>
                <w:sz w:val="24"/>
                <w:szCs w:val="24"/>
              </w:rPr>
            </w:pPr>
          </w:p>
        </w:tc>
        <w:tc>
          <w:tcPr>
            <w:tcW w:w="2232" w:type="dxa"/>
            <w:tcBorders>
              <w:top w:val="single" w:sz="4" w:space="0" w:color="auto"/>
              <w:left w:val="nil"/>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资产余额（元）</w:t>
            </w:r>
          </w:p>
        </w:tc>
        <w:tc>
          <w:tcPr>
            <w:tcW w:w="1500" w:type="dxa"/>
            <w:tcBorders>
              <w:top w:val="single" w:sz="4" w:space="0" w:color="auto"/>
              <w:left w:val="nil"/>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占产品总资产的比例</w:t>
            </w:r>
          </w:p>
        </w:tc>
        <w:tc>
          <w:tcPr>
            <w:tcW w:w="2278" w:type="dxa"/>
            <w:tcBorders>
              <w:top w:val="single" w:sz="4" w:space="0" w:color="auto"/>
              <w:left w:val="nil"/>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资产余额（元）</w:t>
            </w:r>
          </w:p>
        </w:tc>
        <w:tc>
          <w:tcPr>
            <w:tcW w:w="1472" w:type="dxa"/>
            <w:tcBorders>
              <w:top w:val="single" w:sz="4" w:space="0" w:color="auto"/>
              <w:left w:val="nil"/>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占产品总资产的比例</w:t>
            </w:r>
          </w:p>
        </w:tc>
      </w:tr>
      <w:tr w:rsidR="00E310B3" w:rsidTr="00034267">
        <w:tc>
          <w:tcPr>
            <w:tcW w:w="235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 固定收益类</w:t>
            </w:r>
          </w:p>
        </w:tc>
        <w:tc>
          <w:tcPr>
            <w:tcW w:w="223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304,171,920.70</w:t>
            </w:r>
          </w:p>
        </w:tc>
        <w:tc>
          <w:tcPr>
            <w:tcW w:w="1500"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100.00%</w:t>
            </w:r>
          </w:p>
        </w:tc>
        <w:tc>
          <w:tcPr>
            <w:tcW w:w="2278"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E310B3" w:rsidTr="00034267">
        <w:tc>
          <w:tcPr>
            <w:tcW w:w="235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其中：</w:t>
            </w:r>
          </w:p>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现金及货币工具</w:t>
            </w:r>
          </w:p>
        </w:tc>
        <w:tc>
          <w:tcPr>
            <w:tcW w:w="223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19,898,536.34</w:t>
            </w:r>
          </w:p>
        </w:tc>
        <w:tc>
          <w:tcPr>
            <w:tcW w:w="1500"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6.54%</w:t>
            </w:r>
          </w:p>
        </w:tc>
        <w:tc>
          <w:tcPr>
            <w:tcW w:w="2278"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E310B3" w:rsidTr="00034267">
        <w:tc>
          <w:tcPr>
            <w:tcW w:w="235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债券类资产</w:t>
            </w:r>
          </w:p>
        </w:tc>
        <w:tc>
          <w:tcPr>
            <w:tcW w:w="223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284,273,384.36</w:t>
            </w:r>
          </w:p>
        </w:tc>
        <w:tc>
          <w:tcPr>
            <w:tcW w:w="1500"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93.46%</w:t>
            </w:r>
          </w:p>
        </w:tc>
        <w:tc>
          <w:tcPr>
            <w:tcW w:w="2278"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E310B3" w:rsidTr="00034267">
        <w:tc>
          <w:tcPr>
            <w:tcW w:w="235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非标准化债权</w:t>
            </w:r>
          </w:p>
        </w:tc>
        <w:tc>
          <w:tcPr>
            <w:tcW w:w="223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500"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2278"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E310B3" w:rsidTr="00034267">
        <w:tc>
          <w:tcPr>
            <w:tcW w:w="235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其他投资</w:t>
            </w:r>
          </w:p>
        </w:tc>
        <w:tc>
          <w:tcPr>
            <w:tcW w:w="223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500"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2278"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E310B3" w:rsidTr="00034267">
        <w:tc>
          <w:tcPr>
            <w:tcW w:w="235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2.权益类</w:t>
            </w:r>
          </w:p>
        </w:tc>
        <w:tc>
          <w:tcPr>
            <w:tcW w:w="223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500"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2278"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E310B3" w:rsidTr="00034267">
        <w:tc>
          <w:tcPr>
            <w:tcW w:w="2358" w:type="dxa"/>
            <w:tcBorders>
              <w:top w:val="single" w:sz="4" w:space="0" w:color="auto"/>
              <w:left w:val="single" w:sz="4" w:space="0" w:color="auto"/>
              <w:bottom w:val="single" w:sz="4" w:space="0" w:color="auto"/>
              <w:right w:val="single" w:sz="4" w:space="0" w:color="auto"/>
            </w:tcBorders>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3.商品及金融衍生品类</w:t>
            </w:r>
          </w:p>
        </w:tc>
        <w:tc>
          <w:tcPr>
            <w:tcW w:w="223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500"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2278"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r w:rsidR="00E310B3" w:rsidTr="00034267">
        <w:tc>
          <w:tcPr>
            <w:tcW w:w="2358" w:type="dxa"/>
            <w:tcBorders>
              <w:top w:val="single" w:sz="4" w:space="0" w:color="auto"/>
              <w:left w:val="single" w:sz="4" w:space="0" w:color="auto"/>
              <w:bottom w:val="single" w:sz="4" w:space="0" w:color="auto"/>
              <w:right w:val="single" w:sz="4" w:space="0" w:color="auto"/>
            </w:tcBorders>
            <w:vAlign w:val="center"/>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合计</w:t>
            </w:r>
          </w:p>
        </w:tc>
        <w:tc>
          <w:tcPr>
            <w:tcW w:w="223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304,171,920.70</w:t>
            </w:r>
          </w:p>
        </w:tc>
        <w:tc>
          <w:tcPr>
            <w:tcW w:w="1500"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100.00%</w:t>
            </w:r>
          </w:p>
        </w:tc>
        <w:tc>
          <w:tcPr>
            <w:tcW w:w="2278"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c>
          <w:tcPr>
            <w:tcW w:w="1472" w:type="dxa"/>
            <w:tcBorders>
              <w:top w:val="single" w:sz="4" w:space="0" w:color="auto"/>
              <w:left w:val="nil"/>
              <w:bottom w:val="single" w:sz="4" w:space="0" w:color="auto"/>
              <w:right w:val="single" w:sz="4" w:space="0" w:color="auto"/>
            </w:tcBorders>
            <w:vAlign w:val="bottom"/>
          </w:tcPr>
          <w:p w:rsidR="00E310B3" w:rsidRDefault="00B95979">
            <w:pPr>
              <w:pStyle w:val="1"/>
              <w:ind w:firstLine="0"/>
              <w:rPr>
                <w:rStyle w:val="10"/>
                <w:rFonts w:ascii="微软雅黑" w:eastAsia="微软雅黑" w:hAnsi="微软雅黑"/>
                <w:sz w:val="24"/>
                <w:szCs w:val="24"/>
              </w:rPr>
            </w:pPr>
            <w:r>
              <w:rPr>
                <w:rFonts w:ascii="微软雅黑" w:eastAsia="微软雅黑" w:hAnsi="微软雅黑" w:hint="eastAsia"/>
                <w:sz w:val="24"/>
                <w:szCs w:val="24"/>
              </w:rPr>
              <w:t>0.00%</w:t>
            </w:r>
          </w:p>
        </w:tc>
      </w:tr>
    </w:tbl>
    <w:p w:rsidR="00034267" w:rsidRDefault="00034267" w:rsidP="00034267">
      <w:pPr>
        <w:spacing w:line="375" w:lineRule="exact"/>
        <w:ind w:left="20"/>
        <w:jc w:val="left"/>
        <w:rPr>
          <w:rFonts w:ascii="微软雅黑" w:eastAsia="微软雅黑" w:hAnsi="Times New Roman" w:cs="微软雅黑"/>
          <w:sz w:val="28"/>
          <w:szCs w:val="28"/>
        </w:rPr>
      </w:pPr>
    </w:p>
    <w:p w:rsidR="00034267" w:rsidRDefault="00034267" w:rsidP="00034267">
      <w:pPr>
        <w:spacing w:line="375" w:lineRule="exact"/>
        <w:ind w:left="20"/>
        <w:jc w:val="left"/>
        <w:rPr>
          <w:rFonts w:ascii="微软雅黑" w:eastAsia="微软雅黑" w:hAnsi="Times New Roman" w:cs="微软雅黑"/>
          <w:sz w:val="28"/>
          <w:szCs w:val="28"/>
        </w:rPr>
      </w:pPr>
      <w:r>
        <w:rPr>
          <w:rFonts w:ascii="微软雅黑" w:eastAsia="微软雅黑" w:hAnsi="Times New Roman" w:cs="微软雅黑" w:hint="eastAsia"/>
          <w:sz w:val="28"/>
          <w:szCs w:val="28"/>
        </w:rPr>
        <w:t>本产品截至报告期末的杠杆率为</w:t>
      </w:r>
      <w:r>
        <w:rPr>
          <w:rFonts w:ascii="微软雅黑" w:eastAsia="微软雅黑" w:hAnsi="Times New Roman" w:cs="微软雅黑"/>
          <w:sz w:val="28"/>
          <w:szCs w:val="28"/>
        </w:rPr>
        <w:t>10</w:t>
      </w:r>
      <w:r>
        <w:rPr>
          <w:rFonts w:ascii="微软雅黑" w:eastAsia="微软雅黑" w:hAnsi="Times New Roman" w:cs="微软雅黑" w:hint="eastAsia"/>
          <w:sz w:val="28"/>
          <w:szCs w:val="28"/>
        </w:rPr>
        <w:t>4.55</w:t>
      </w:r>
      <w:r>
        <w:rPr>
          <w:rFonts w:ascii="微软雅黑" w:eastAsia="微软雅黑" w:hAnsi="Times New Roman" w:cs="微软雅黑"/>
          <w:sz w:val="28"/>
          <w:szCs w:val="28"/>
        </w:rPr>
        <w:t>%</w:t>
      </w:r>
    </w:p>
    <w:p w:rsidR="00034267" w:rsidRPr="00034267" w:rsidRDefault="00034267" w:rsidP="00034267">
      <w:pPr>
        <w:spacing w:line="375" w:lineRule="exact"/>
        <w:ind w:left="20"/>
        <w:jc w:val="left"/>
        <w:rPr>
          <w:rFonts w:ascii="微软雅黑" w:eastAsia="微软雅黑" w:hAnsi="Times New Roman" w:cs="微软雅黑"/>
          <w:sz w:val="28"/>
          <w:szCs w:val="28"/>
        </w:rPr>
      </w:pPr>
    </w:p>
    <w:p w:rsidR="00E310B3" w:rsidRDefault="00B95979">
      <w:pPr>
        <w:jc w:val="left"/>
        <w:rPr>
          <w:rFonts w:ascii="微软雅黑" w:eastAsia="微软雅黑" w:hAnsi="微软雅黑"/>
          <w:b/>
          <w:bCs/>
          <w:sz w:val="28"/>
          <w:szCs w:val="28"/>
        </w:rPr>
      </w:pPr>
      <w:r>
        <w:rPr>
          <w:rFonts w:ascii="微软雅黑" w:eastAsia="微软雅黑" w:hAnsi="微软雅黑" w:hint="eastAsia"/>
          <w:b/>
          <w:bCs/>
          <w:sz w:val="28"/>
          <w:szCs w:val="28"/>
        </w:rPr>
        <w:t>五、报告期末按公允价值占理财产品资产净值比例大小排序的前十项资产投资明细</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3600"/>
        <w:gridCol w:w="2790"/>
        <w:gridCol w:w="2130"/>
      </w:tblGrid>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序号</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资产名称</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资产余额（元）</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资产占比</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1</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22天风03</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20,713,680.82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7.12%</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2</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20工商银行二级01</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20,595,255.62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7.08%</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3</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22嘉新01</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20,431,776.99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7.02%</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4</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22德清交通PPN002</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20,365,763.84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7.00%</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5</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22</w:t>
            </w:r>
            <w:proofErr w:type="gramStart"/>
            <w:r>
              <w:rPr>
                <w:rFonts w:ascii="微软雅黑" w:eastAsia="微软雅黑" w:hAnsi="微软雅黑" w:cs="微软雅黑"/>
                <w:color w:val="000000"/>
                <w:sz w:val="24"/>
              </w:rPr>
              <w:t>两</w:t>
            </w:r>
            <w:proofErr w:type="gramEnd"/>
            <w:r>
              <w:rPr>
                <w:rFonts w:ascii="微软雅黑" w:eastAsia="微软雅黑" w:hAnsi="微软雅黑" w:cs="微软雅黑"/>
                <w:color w:val="000000"/>
                <w:sz w:val="24"/>
              </w:rPr>
              <w:t>山02</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20,118,438.36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6.92%</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6</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G22</w:t>
            </w:r>
            <w:proofErr w:type="gramStart"/>
            <w:r>
              <w:rPr>
                <w:rFonts w:ascii="微软雅黑" w:eastAsia="微软雅黑" w:hAnsi="微软雅黑" w:cs="微软雅黑"/>
                <w:color w:val="000000"/>
                <w:sz w:val="24"/>
              </w:rPr>
              <w:t>盐控</w:t>
            </w:r>
            <w:proofErr w:type="gramEnd"/>
            <w:r>
              <w:rPr>
                <w:rFonts w:ascii="微软雅黑" w:eastAsia="微软雅黑" w:hAnsi="微软雅黑" w:cs="微软雅黑"/>
                <w:color w:val="000000"/>
                <w:sz w:val="24"/>
              </w:rPr>
              <w:t>1</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20,096,164.38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6.91%</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7</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22</w:t>
            </w:r>
            <w:proofErr w:type="gramStart"/>
            <w:r>
              <w:rPr>
                <w:rFonts w:ascii="微软雅黑" w:eastAsia="微软雅黑" w:hAnsi="微软雅黑" w:cs="微软雅黑"/>
                <w:color w:val="000000"/>
                <w:sz w:val="24"/>
              </w:rPr>
              <w:t>浔</w:t>
            </w:r>
            <w:proofErr w:type="gramEnd"/>
            <w:r>
              <w:rPr>
                <w:rFonts w:ascii="微软雅黑" w:eastAsia="微软雅黑" w:hAnsi="微软雅黑" w:cs="微软雅黑"/>
                <w:color w:val="000000"/>
                <w:sz w:val="24"/>
              </w:rPr>
              <w:t>交02</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18,305,309.59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6.29%</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8</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23宜兴经开PPN001</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18,032,326.03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6.20%</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lastRenderedPageBreak/>
              <w:t>9</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PR优A</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17,520,108.06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6.02%</w:t>
            </w:r>
          </w:p>
        </w:tc>
      </w:tr>
      <w:tr w:rsidR="00E310B3">
        <w:trPr>
          <w:trHeight w:val="345"/>
        </w:trPr>
        <w:tc>
          <w:tcPr>
            <w:tcW w:w="111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4"/>
              </w:rPr>
              <w:t>10</w:t>
            </w:r>
          </w:p>
        </w:tc>
        <w:tc>
          <w:tcPr>
            <w:tcW w:w="36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4"/>
              </w:rPr>
              <w:t>22</w:t>
            </w:r>
            <w:proofErr w:type="gramStart"/>
            <w:r>
              <w:rPr>
                <w:rFonts w:ascii="微软雅黑" w:eastAsia="微软雅黑" w:hAnsi="微软雅黑" w:cs="微软雅黑"/>
                <w:color w:val="000000"/>
                <w:sz w:val="24"/>
              </w:rPr>
              <w:t>舜通</w:t>
            </w:r>
            <w:proofErr w:type="gramEnd"/>
            <w:r>
              <w:rPr>
                <w:rFonts w:ascii="微软雅黑" w:eastAsia="微软雅黑" w:hAnsi="微软雅黑" w:cs="微软雅黑"/>
                <w:color w:val="000000"/>
                <w:sz w:val="24"/>
              </w:rPr>
              <w:t>02</w:t>
            </w:r>
          </w:p>
        </w:tc>
        <w:tc>
          <w:tcPr>
            <w:tcW w:w="279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 xml:space="preserve">12,253,873.97 </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right"/>
            </w:pPr>
            <w:r>
              <w:rPr>
                <w:rFonts w:ascii="微软雅黑" w:eastAsia="微软雅黑" w:hAnsi="微软雅黑" w:cs="微软雅黑"/>
                <w:color w:val="000000"/>
                <w:sz w:val="24"/>
              </w:rPr>
              <w:t>4.21%</w:t>
            </w:r>
          </w:p>
        </w:tc>
      </w:tr>
    </w:tbl>
    <w:p w:rsidR="00E310B3" w:rsidRDefault="00B95979">
      <w:pPr>
        <w:jc w:val="left"/>
        <w:rPr>
          <w:rFonts w:ascii="微软雅黑" w:eastAsia="微软雅黑" w:hAnsi="微软雅黑" w:cs="Times New Roman"/>
          <w:b/>
          <w:bCs/>
          <w:sz w:val="28"/>
          <w:szCs w:val="28"/>
        </w:rPr>
      </w:pPr>
      <w:r>
        <w:rPr>
          <w:rFonts w:ascii="微软雅黑" w:eastAsia="微软雅黑" w:hAnsi="微软雅黑" w:hint="eastAsia"/>
          <w:b/>
          <w:bCs/>
          <w:sz w:val="28"/>
          <w:szCs w:val="28"/>
        </w:rPr>
        <w:t xml:space="preserve">六、报告期内投资的非标准化债权类资产信息 </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5"/>
        <w:gridCol w:w="1800"/>
        <w:gridCol w:w="1965"/>
        <w:gridCol w:w="2145"/>
        <w:gridCol w:w="1575"/>
      </w:tblGrid>
      <w:tr w:rsidR="00E310B3">
        <w:trPr>
          <w:trHeight w:val="360"/>
        </w:trPr>
        <w:tc>
          <w:tcPr>
            <w:tcW w:w="151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2"/>
              </w:rPr>
              <w:t>产品名称</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2"/>
              </w:rPr>
              <w:t>项目名称</w:t>
            </w: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2"/>
              </w:rPr>
              <w:t>融资客户名称</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2"/>
              </w:rPr>
              <w:t>剩余融资期限（天）</w:t>
            </w: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center"/>
            </w:pPr>
            <w:r>
              <w:rPr>
                <w:rFonts w:ascii="微软雅黑" w:eastAsia="微软雅黑" w:hAnsi="微软雅黑" w:cs="微软雅黑"/>
                <w:color w:val="000000"/>
                <w:sz w:val="22"/>
              </w:rPr>
              <w:t>交易结构</w:t>
            </w:r>
          </w:p>
        </w:tc>
      </w:tr>
      <w:tr w:rsidR="00E310B3">
        <w:trPr>
          <w:trHeight w:val="360"/>
        </w:trPr>
        <w:tc>
          <w:tcPr>
            <w:tcW w:w="151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2"/>
              </w:rPr>
              <w:t>-</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2"/>
              </w:rPr>
              <w:t>-</w:t>
            </w:r>
          </w:p>
        </w:tc>
        <w:tc>
          <w:tcPr>
            <w:tcW w:w="196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2"/>
              </w:rPr>
              <w:t>-</w:t>
            </w:r>
          </w:p>
        </w:tc>
        <w:tc>
          <w:tcPr>
            <w:tcW w:w="214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2"/>
              </w:rPr>
              <w:t>-</w:t>
            </w: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left w:w="80" w:type="dxa"/>
              <w:right w:w="80" w:type="dxa"/>
            </w:tcMar>
            <w:vAlign w:val="center"/>
          </w:tcPr>
          <w:p w:rsidR="00E310B3" w:rsidRDefault="00B95979">
            <w:pPr>
              <w:jc w:val="left"/>
            </w:pPr>
            <w:r>
              <w:rPr>
                <w:rFonts w:ascii="微软雅黑" w:eastAsia="微软雅黑" w:hAnsi="微软雅黑" w:cs="微软雅黑"/>
                <w:color w:val="000000"/>
                <w:sz w:val="22"/>
              </w:rPr>
              <w:t>-</w:t>
            </w:r>
          </w:p>
        </w:tc>
      </w:tr>
    </w:tbl>
    <w:p w:rsidR="00E310B3" w:rsidRDefault="00B95979">
      <w:pPr>
        <w:rPr>
          <w:rFonts w:ascii="微软雅黑" w:eastAsia="微软雅黑" w:hAnsi="微软雅黑"/>
          <w:b/>
          <w:bCs/>
          <w:sz w:val="28"/>
          <w:szCs w:val="28"/>
        </w:rPr>
      </w:pPr>
      <w:r>
        <w:rPr>
          <w:rFonts w:ascii="微软雅黑" w:eastAsia="微软雅黑" w:hAnsi="微软雅黑" w:hint="eastAsia"/>
          <w:b/>
          <w:bCs/>
          <w:sz w:val="28"/>
          <w:szCs w:val="28"/>
        </w:rPr>
        <w:t>七、产品整体运作情况</w:t>
      </w:r>
    </w:p>
    <w:p w:rsidR="00E310B3" w:rsidRDefault="00B95979">
      <w:pPr>
        <w:ind w:firstLine="480"/>
        <w:rPr>
          <w:rFonts w:ascii="微软雅黑" w:eastAsia="微软雅黑" w:hAnsi="微软雅黑"/>
          <w:sz w:val="24"/>
          <w:szCs w:val="24"/>
        </w:rPr>
      </w:pPr>
      <w:r>
        <w:rPr>
          <w:rFonts w:ascii="微软雅黑" w:eastAsia="微软雅黑" w:hAnsi="微软雅黑" w:hint="eastAsia"/>
          <w:sz w:val="24"/>
          <w:szCs w:val="24"/>
        </w:rPr>
        <w:t>自本产品成立起至本报告日，产品管理人恪尽职守、勤勉尽责、谨慎管理，忠实履行有关法律、行政法规和相关文件的规定。</w:t>
      </w:r>
    </w:p>
    <w:p w:rsidR="00E310B3" w:rsidRDefault="00B95979">
      <w:pPr>
        <w:ind w:firstLine="480"/>
        <w:rPr>
          <w:rFonts w:ascii="微软雅黑" w:eastAsia="微软雅黑" w:hAnsi="微软雅黑"/>
          <w:sz w:val="24"/>
          <w:szCs w:val="24"/>
        </w:rPr>
      </w:pPr>
      <w:r>
        <w:rPr>
          <w:rFonts w:ascii="微软雅黑" w:eastAsia="微软雅黑" w:hAnsi="微软雅黑" w:hint="eastAsia"/>
          <w:sz w:val="24"/>
          <w:szCs w:val="24"/>
        </w:rPr>
        <w:t>截至本报告日，全部项目均能正常付息，各项投资资产正常运营，产品流动性良好，风险可控。</w:t>
      </w:r>
    </w:p>
    <w:p w:rsidR="00E310B3" w:rsidRDefault="00B95979">
      <w:pPr>
        <w:ind w:firstLine="480"/>
        <w:rPr>
          <w:rFonts w:ascii="微软雅黑" w:eastAsia="微软雅黑" w:hAnsi="微软雅黑"/>
          <w:sz w:val="24"/>
          <w:szCs w:val="24"/>
        </w:rPr>
      </w:pPr>
      <w:r>
        <w:rPr>
          <w:rFonts w:ascii="微软雅黑" w:eastAsia="微软雅黑" w:hAnsi="微软雅黑" w:hint="eastAsia"/>
          <w:sz w:val="24"/>
          <w:szCs w:val="24"/>
        </w:rPr>
        <w:t>本产品自成立至本报告日，没有发生涉诉及诉讼等损害投资者利益的情形。</w:t>
      </w:r>
    </w:p>
    <w:p w:rsidR="00E310B3" w:rsidRDefault="00B95979">
      <w:pPr>
        <w:rPr>
          <w:rFonts w:ascii="微软雅黑" w:eastAsia="微软雅黑" w:hAnsi="微软雅黑"/>
          <w:b/>
          <w:bCs/>
          <w:sz w:val="28"/>
          <w:szCs w:val="28"/>
        </w:rPr>
      </w:pPr>
      <w:r>
        <w:rPr>
          <w:rFonts w:ascii="微软雅黑" w:eastAsia="微软雅黑" w:hAnsi="微软雅黑" w:hint="eastAsia"/>
          <w:b/>
          <w:bCs/>
          <w:sz w:val="28"/>
          <w:szCs w:val="28"/>
        </w:rPr>
        <w:t>八、投资组合的流动性分析</w:t>
      </w:r>
    </w:p>
    <w:p w:rsidR="00E310B3" w:rsidRDefault="00B95979">
      <w:pPr>
        <w:ind w:firstLine="480"/>
        <w:rPr>
          <w:rFonts w:ascii="微软雅黑" w:eastAsia="微软雅黑" w:hAnsi="微软雅黑"/>
          <w:sz w:val="24"/>
          <w:szCs w:val="24"/>
        </w:rPr>
      </w:pPr>
      <w:r>
        <w:rPr>
          <w:rFonts w:ascii="微软雅黑" w:eastAsia="微软雅黑" w:hAnsi="微软雅黑" w:hint="eastAsia"/>
          <w:sz w:val="24"/>
          <w:szCs w:val="24"/>
        </w:rPr>
        <w:t>投资组合的流动性风险是指本产品资金不足履行与负债相关义务的风险。流动性风险主要来源于市场不活跃可能带来市场变现困难或在市场出现剧烈波动的情况下不能以合理价格变现的风险。</w:t>
      </w:r>
    </w:p>
    <w:p w:rsidR="00E310B3" w:rsidRDefault="00B95979">
      <w:pPr>
        <w:ind w:firstLine="480"/>
        <w:rPr>
          <w:rFonts w:ascii="微软雅黑" w:eastAsia="微软雅黑" w:hAnsi="微软雅黑"/>
          <w:sz w:val="24"/>
          <w:szCs w:val="24"/>
        </w:rPr>
      </w:pPr>
      <w:r>
        <w:rPr>
          <w:rFonts w:ascii="微软雅黑" w:eastAsia="微软雅黑" w:hAnsi="微软雅黑" w:hint="eastAsia"/>
          <w:sz w:val="24"/>
          <w:szCs w:val="24"/>
        </w:rPr>
        <w:t>本产品管理人将合理安排所投资产的期限，尽可能降低流动性风险，有效保障投资者的利益。</w:t>
      </w:r>
    </w:p>
    <w:p w:rsidR="00E310B3" w:rsidRDefault="00B95979">
      <w:pPr>
        <w:rPr>
          <w:rFonts w:ascii="微软雅黑" w:eastAsia="微软雅黑" w:hAnsi="微软雅黑"/>
          <w:sz w:val="28"/>
          <w:szCs w:val="28"/>
        </w:rPr>
      </w:pPr>
      <w:r>
        <w:rPr>
          <w:rFonts w:ascii="微软雅黑" w:eastAsia="微软雅黑" w:hAnsi="微软雅黑" w:hint="eastAsia"/>
          <w:sz w:val="28"/>
          <w:szCs w:val="28"/>
        </w:rPr>
        <w:t xml:space="preserve"> </w:t>
      </w:r>
    </w:p>
    <w:p w:rsidR="00E310B3" w:rsidRDefault="00B95979">
      <w:pPr>
        <w:ind w:firstLine="4760"/>
        <w:rPr>
          <w:rFonts w:ascii="微软雅黑" w:eastAsia="微软雅黑" w:hAnsi="微软雅黑"/>
          <w:sz w:val="28"/>
          <w:szCs w:val="28"/>
        </w:rPr>
      </w:pPr>
      <w:r>
        <w:rPr>
          <w:rFonts w:ascii="微软雅黑" w:eastAsia="微软雅黑" w:hAnsi="微软雅黑" w:hint="eastAsia"/>
          <w:sz w:val="28"/>
          <w:szCs w:val="28"/>
        </w:rPr>
        <w:t xml:space="preserve"> </w:t>
      </w:r>
    </w:p>
    <w:p w:rsidR="00E310B3" w:rsidRDefault="00B95979">
      <w:pPr>
        <w:ind w:firstLine="4760"/>
        <w:rPr>
          <w:rFonts w:ascii="微软雅黑" w:eastAsia="微软雅黑" w:hAnsi="微软雅黑"/>
          <w:sz w:val="28"/>
          <w:szCs w:val="28"/>
        </w:rPr>
      </w:pPr>
      <w:r>
        <w:rPr>
          <w:rFonts w:ascii="微软雅黑" w:eastAsia="微软雅黑" w:hAnsi="微软雅黑" w:hint="eastAsia"/>
          <w:sz w:val="28"/>
          <w:szCs w:val="28"/>
        </w:rPr>
        <w:t xml:space="preserve"> </w:t>
      </w:r>
    </w:p>
    <w:p w:rsidR="00E310B3" w:rsidRDefault="00B95979" w:rsidP="0072430E">
      <w:pPr>
        <w:jc w:val="right"/>
        <w:rPr>
          <w:rFonts w:ascii="微软雅黑" w:eastAsia="微软雅黑" w:hAnsi="微软雅黑"/>
          <w:sz w:val="28"/>
          <w:szCs w:val="28"/>
        </w:rPr>
      </w:pPr>
      <w:r>
        <w:rPr>
          <w:rFonts w:ascii="微软雅黑" w:eastAsia="微软雅黑" w:hAnsi="微软雅黑" w:hint="eastAsia"/>
          <w:sz w:val="28"/>
          <w:szCs w:val="28"/>
        </w:rPr>
        <w:t>江苏太仓农村商业银行股份有限公司</w:t>
      </w:r>
    </w:p>
    <w:p w:rsidR="00E310B3" w:rsidRDefault="00B95979">
      <w:pPr>
        <w:ind w:firstLineChars="2300" w:firstLine="6440"/>
      </w:pPr>
      <w:r>
        <w:rPr>
          <w:rFonts w:ascii="微软雅黑" w:eastAsia="微软雅黑" w:hAnsi="微软雅黑" w:hint="eastAsia"/>
          <w:sz w:val="28"/>
          <w:szCs w:val="28"/>
        </w:rPr>
        <w:t>2025年03月</w:t>
      </w:r>
      <w:r w:rsidR="0072430E">
        <w:rPr>
          <w:rFonts w:ascii="微软雅黑" w:eastAsia="微软雅黑" w:hAnsi="微软雅黑" w:hint="eastAsia"/>
          <w:sz w:val="28"/>
          <w:szCs w:val="28"/>
        </w:rPr>
        <w:t>14</w:t>
      </w:r>
      <w:bookmarkStart w:id="0" w:name="_GoBack"/>
      <w:bookmarkEnd w:id="0"/>
      <w:r>
        <w:rPr>
          <w:rFonts w:ascii="微软雅黑" w:eastAsia="微软雅黑" w:hAnsi="微软雅黑" w:hint="eastAsia"/>
          <w:sz w:val="28"/>
          <w:szCs w:val="28"/>
        </w:rPr>
        <w:t>日</w:t>
      </w:r>
    </w:p>
    <w:sectPr w:rsidR="00E310B3">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libri Light">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rawingGridHorizontalSpacing w:val="105"/>
  <w:drawingGridVerticalSpacing w:val="156"/>
  <w:noPunctuationKerning/>
  <w:characterSpacingControl w:val="doNotCompress"/>
  <w:compat>
    <w:doNotLeaveBackslashAlone/>
    <w:ulTrailSpace/>
    <w:useFELayout/>
    <w:useAltKinsokuLineBreakRules/>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0B3"/>
    <w:rsid w:val="00034267"/>
    <w:rsid w:val="001B7B0B"/>
    <w:rsid w:val="0072430E"/>
    <w:rsid w:val="00B95979"/>
    <w:rsid w:val="00E31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15817"/>
  <w15:docId w15:val="{DE71AF4D-5148-4F98-916C-A64AC4B27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10">
    <w:name w:val="10"/>
    <w:basedOn w:val="a0"/>
    <w:qFormat/>
    <w:rPr>
      <w:rFonts w:ascii="Calibri" w:hAnsi="Calibri" w:cs="Calibri" w:hint="default"/>
    </w:rPr>
  </w:style>
  <w:style w:type="character" w:customStyle="1" w:styleId="a4">
    <w:name w:val="批注框文本 字符"/>
    <w:basedOn w:val="a0"/>
    <w:link w:val="a3"/>
    <w:uiPriority w:val="99"/>
    <w:semiHidden/>
    <w:qFormat/>
    <w:rPr>
      <w:rFonts w:ascii="Calibri" w:eastAsia="宋体" w:hAnsi="Calibri" w:cs="Calibri"/>
      <w:sz w:val="18"/>
      <w:szCs w:val="18"/>
    </w:rPr>
  </w:style>
  <w:style w:type="character" w:styleId="a9">
    <w:name w:val="Placeholder Text"/>
    <w:basedOn w:val="a0"/>
    <w:uiPriority w:val="99"/>
    <w:semiHidden/>
    <w:qFormat/>
    <w:rPr>
      <w:color w:val="808080"/>
    </w:rPr>
  </w:style>
  <w:style w:type="paragraph" w:customStyle="1" w:styleId="1">
    <w:name w:val="列出段落1"/>
    <w:basedOn w:val="a"/>
    <w:qFormat/>
    <w:pPr>
      <w:ind w:firstLine="420"/>
    </w:pPr>
    <w:rPr>
      <w:rFonts w:cs="Times New Roman"/>
    </w:rPr>
  </w:style>
  <w:style w:type="character" w:customStyle="1" w:styleId="a8">
    <w:name w:val="页眉 字符"/>
    <w:basedOn w:val="a0"/>
    <w:link w:val="a7"/>
    <w:uiPriority w:val="99"/>
    <w:qFormat/>
    <w:rPr>
      <w:rFonts w:ascii="Calibri" w:eastAsia="宋体" w:hAnsi="Calibri" w:cs="Calibri"/>
      <w:sz w:val="18"/>
      <w:szCs w:val="18"/>
    </w:rPr>
  </w:style>
  <w:style w:type="character" w:customStyle="1" w:styleId="a6">
    <w:name w:val="页脚 字符"/>
    <w:basedOn w:val="a0"/>
    <w:link w:val="a5"/>
    <w:uiPriority w:val="99"/>
    <w:qFormat/>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170</TotalTime>
  <Pages>3</Pages>
  <Words>238</Words>
  <Characters>1359</Characters>
  <Application>Microsoft Office Word</Application>
  <DocSecurity>0</DocSecurity>
  <Lines>11</Lines>
  <Paragraphs>3</Paragraphs>
  <ScaleCrop>false</ScaleCrop>
  <Company>Organization</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王经纬</dc:creator>
  <cp:lastModifiedBy>顾敏菊</cp:lastModifiedBy>
  <cp:revision>3</cp:revision>
  <dcterms:created xsi:type="dcterms:W3CDTF">2023-04-04T08:51:00Z</dcterms:created>
  <dcterms:modified xsi:type="dcterms:W3CDTF">2025-03-14T07:26:00Z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257DBB3469BA44AB9258B37B5369D2FE</vt:lpwstr>
  </property>
  <property fmtid="{D5CDD505-2E9C-101B-9397-08002B2CF9AE}" pid="3" name="KSOProductBuildVer">
    <vt:lpwstr>2052-11.8.2.12085</vt:lpwstr>
  </property>
</Properties>
</file>