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1501" w:type="dxa"/>
        <w:tblInd w:w="0" w:type="dxa"/>
        <w:tblLayout w:type="fixed"/>
        <w:tblCellMar>
          <w:top w:w="0" w:type="dxa"/>
          <w:left w:w="10" w:type="dxa"/>
          <w:bottom w:w="0" w:type="dxa"/>
          <w:right w:w="10" w:type="dxa"/>
        </w:tblCellMar>
      </w:tblPr>
      <w:tblGrid>
        <w:gridCol w:w="1"/>
        <w:gridCol w:w="800"/>
        <w:gridCol w:w="1000"/>
        <w:gridCol w:w="1000"/>
        <w:gridCol w:w="400"/>
        <w:gridCol w:w="200"/>
        <w:gridCol w:w="200"/>
        <w:gridCol w:w="400"/>
        <w:gridCol w:w="20"/>
        <w:gridCol w:w="980"/>
        <w:gridCol w:w="1600"/>
        <w:gridCol w:w="200"/>
        <w:gridCol w:w="200"/>
        <w:gridCol w:w="400"/>
        <w:gridCol w:w="220"/>
        <w:gridCol w:w="1180"/>
        <w:gridCol w:w="200"/>
        <w:gridCol w:w="1700"/>
        <w:gridCol w:w="800"/>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18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240" w:lineRule="auto"/>
              <w:jc w:val="center"/>
            </w:pPr>
            <w:r>
              <w:rPr>
                <w:rFonts w:ascii="原版宋体" w:hAnsi="原版宋体" w:eastAsia="原版宋体" w:cs="原版宋体"/>
                <w:b/>
                <w:color w:val="000000"/>
                <w:sz w:val="40"/>
              </w:rPr>
              <w:t>“金蝶封闭式净值型49期”年度报告</w:t>
            </w:r>
          </w:p>
        </w:tc>
        <w:tc>
          <w:tcPr>
            <w:tcW w:w="800" w:type="dxa"/>
          </w:tcPr>
          <w:p>
            <w:pPr>
              <w:pStyle w:val="4"/>
            </w:pPr>
          </w:p>
        </w:tc>
      </w:tr>
      <w:tr>
        <w:tblPrEx>
          <w:tblLayout w:type="fixed"/>
          <w:tblCellMar>
            <w:top w:w="0" w:type="dxa"/>
            <w:left w:w="10" w:type="dxa"/>
            <w:bottom w:w="0" w:type="dxa"/>
            <w:right w:w="10" w:type="dxa"/>
          </w:tblCellMar>
        </w:tblPrEx>
        <w:trPr>
          <w:trHeight w:val="2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产品管理人：江苏海安农村商业银行股份有限公司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产品托管人：南京银行股份有限公司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发布时间：2021年12月31日</w:t>
            </w:r>
          </w:p>
        </w:tc>
        <w:tc>
          <w:tcPr>
            <w:tcW w:w="800"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b/>
                <w:color w:val="000000"/>
                <w:sz w:val="20"/>
              </w:rPr>
              <w:t>1  重要提示</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产品的过往业绩并不代表其未来表现。投资有风险，投资者在作出投资决策前应仔细阅读本产品说明书。</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本报告中财务资料未经审计。</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本报告期自2021年06月09日起至12月31日止。</w:t>
            </w:r>
          </w:p>
        </w:tc>
        <w:tc>
          <w:tcPr>
            <w:tcW w:w="800"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2  产品概况</w:t>
            </w:r>
          </w:p>
        </w:tc>
        <w:tc>
          <w:tcPr>
            <w:tcW w:w="800"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产品名称</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金蝶封闭式净值型49期</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产品编码</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JDFB20210609</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全国银行业理财信息登记系统编码</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C1152521000075</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产品运作方式</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封闭式净值型</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产品类型</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固定收益类</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募集方式</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公募</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报告期末产品份额总额</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18,877,000.00</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业绩比较基准</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3.7800%-3.7800%</w:t>
            </w:r>
          </w:p>
        </w:tc>
        <w:tc>
          <w:tcPr>
            <w:tcW w:w="800" w:type="dxa"/>
          </w:tcPr>
          <w:p>
            <w:pPr>
              <w:pStyle w:val="4"/>
            </w:pPr>
          </w:p>
        </w:tc>
      </w:tr>
      <w:tr>
        <w:tblPrEx>
          <w:tblLayout w:type="fixed"/>
          <w:tblCellMar>
            <w:top w:w="0" w:type="dxa"/>
            <w:left w:w="10" w:type="dxa"/>
            <w:bottom w:w="0" w:type="dxa"/>
            <w:right w:w="10" w:type="dxa"/>
          </w:tblCellMar>
        </w:tblPrEx>
        <w:trPr>
          <w:trHeight w:val="1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产品单位净值披露</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产品单位净值为提取相关费用后的单位产品净值。产品单位净值的计算按照四舍五入原则，保留至小数点后4位。2.在本产品存续期内，每周四公布前一个自然日产品单位净值，如遇中国大陆法定休假日则顺延至下一个工作日。3.本产品到期，根据到期日产品单位净值计算客户到期金额。</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产品管理人</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82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3  主要财务指标和产品净值表现</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3.1 主要财务指标</w:t>
            </w:r>
          </w:p>
        </w:tc>
        <w:tc>
          <w:tcPr>
            <w:tcW w:w="7300" w:type="dxa"/>
            <w:gridSpan w:val="12"/>
            <w:tcMar>
              <w:top w:w="0" w:type="dxa"/>
              <w:left w:w="0" w:type="dxa"/>
              <w:bottom w:w="0" w:type="dxa"/>
              <w:right w:w="0" w:type="dxa"/>
            </w:tcMar>
            <w:vAlign w:val="center"/>
          </w:tcPr>
          <w:p>
            <w:pPr>
              <w:spacing w:before="0" w:after="0" w:line="360" w:lineRule="auto"/>
              <w:jc w:val="right"/>
            </w:pPr>
            <w:r>
              <w:rPr>
                <w:rFonts w:ascii="原版宋体" w:hAnsi="原版宋体" w:eastAsia="原版宋体" w:cs="原版宋体"/>
                <w:color w:val="000000"/>
                <w:sz w:val="20"/>
              </w:rPr>
              <w:t>（单位：元）</w:t>
            </w:r>
          </w:p>
        </w:tc>
        <w:tc>
          <w:tcPr>
            <w:tcW w:w="800"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主要财务指标</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报告期（2021年06月09日-2021年12月31日）</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1.本期已实现收益</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417,367.82</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1" w:name="JR_PAGE_ANCHOR_0_2"/>
            <w:bookmarkEnd w:id="1"/>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2.本期利润</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403,769.62</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3.期末产品资产净值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19,280,769.62</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4.期末产品份额净值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1.021390</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5.期末产品份额累计净值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1.021390</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 杠杆水平</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115.79%</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 xml:space="preserve">    注：所述产品业绩指标不包括持有人认购或交易产品的各项费用，计入费用后实际收益水平要低于所列数字。</w:t>
            </w:r>
          </w:p>
        </w:tc>
        <w:tc>
          <w:tcPr>
            <w:tcW w:w="800" w:type="dxa"/>
          </w:tcPr>
          <w:p>
            <w:pPr>
              <w:pStyle w:val="4"/>
            </w:pPr>
          </w:p>
        </w:tc>
      </w:tr>
      <w:tr>
        <w:tblPrEx>
          <w:tblLayout w:type="fixed"/>
          <w:tblCellMar>
            <w:top w:w="0" w:type="dxa"/>
            <w:left w:w="10" w:type="dxa"/>
            <w:bottom w:w="0" w:type="dxa"/>
            <w:right w:w="10" w:type="dxa"/>
          </w:tblCellMar>
        </w:tblPrEx>
        <w:trPr>
          <w:trHeight w:val="620" w:hRule="exact"/>
        </w:trPr>
        <w:tc>
          <w:tcPr>
            <w:tcW w:w="1" w:type="dxa"/>
          </w:tcPr>
          <w:p>
            <w:pPr>
              <w:pStyle w:val="4"/>
            </w:pPr>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4  投资组合报告</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4.1 报告期末产品资产组合情况</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项目</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金额（元）</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占产品总资产的比例（%）</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固定收益投资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22,311,991.42</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99.94%</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其中：债券</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22,311,991.42</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99.94%</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      非标资产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权益投资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其中：基金</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金融衍生品投资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买入返售金融资产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其中：买断式回购</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银行存款合计</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13,113.35</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0.06%</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其他资产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7</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合计</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22,325,104.77</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100.00%</w:t>
            </w:r>
          </w:p>
        </w:tc>
        <w:tc>
          <w:tcPr>
            <w:tcW w:w="800" w:type="dxa"/>
          </w:tcPr>
          <w:p>
            <w:pPr>
              <w:pStyle w:val="4"/>
            </w:pPr>
          </w:p>
        </w:tc>
      </w:tr>
      <w:tr>
        <w:tblPrEx>
          <w:tblLayout w:type="fixed"/>
          <w:tblCellMar>
            <w:top w:w="0" w:type="dxa"/>
            <w:left w:w="10" w:type="dxa"/>
            <w:bottom w:w="0" w:type="dxa"/>
            <w:right w:w="10" w:type="dxa"/>
          </w:tblCellMar>
        </w:tblPrEx>
        <w:trPr>
          <w:trHeight w:val="820" w:hRule="exact"/>
        </w:trPr>
        <w:tc>
          <w:tcPr>
            <w:tcW w:w="1" w:type="dxa"/>
          </w:tcPr>
          <w:p>
            <w:pPr>
              <w:pStyle w:val="4"/>
            </w:pPr>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4.2 报告期末按债券品种分类的债券投资组合</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债券品种</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金额（元）</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占产品资产净值比例（％）</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国家债券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央行票据</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金融债券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9,726,696.21</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50.45%</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其中：政策性金融债</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企业债券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12,585,295.21</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65.27%</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企业短期融资券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可转债</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7</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其他</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8</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合计</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22,311,991.42</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115.72%</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2" w:name="JR_PAGE_ANCHOR_0_3"/>
            <w:bookmarkEnd w:id="2"/>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4.3 报告期末按市值占产品资产净值比例大小排名的前十名资产投资明细</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资产代码</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资产名称</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数量</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市值(元)</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0"/>
              </w:rPr>
              <w:t>占产品资产净值比例（％）</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1</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1921021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19重庆农商二级</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1,750,000.00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1,849,348.39</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9.59%</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2</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101901419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19川能投MTN004A</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1,800,000.00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1,824,027.21</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9.46%</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3</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032000690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20晋江建投PPN003</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1,700,000.00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1,748,222.76</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9.07%</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4</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1880163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18首旅债01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1,700,000.00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1,727,831.75</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8.96%</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5</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2128041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21广发银行小微债</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1,000,000.00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1,009,061.63</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5.23%</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6</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102100077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21光大水务MTN001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950,000.00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997,714.36</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5.17%</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7</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101800783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18北控水务MTN002B</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104,755.30</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0.54%</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4.4 报告期末投资组合流动性风险分析</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2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流动性资产市值（元）</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产品资产净值（元）</w:t>
            </w:r>
          </w:p>
        </w:tc>
        <w:tc>
          <w:tcPr>
            <w:tcW w:w="410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流动性资产占比（%）</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2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13,113.35</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19,280,769.62</w:t>
            </w:r>
          </w:p>
        </w:tc>
        <w:tc>
          <w:tcPr>
            <w:tcW w:w="410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0.07%</w:t>
            </w:r>
          </w:p>
        </w:tc>
        <w:tc>
          <w:tcPr>
            <w:tcW w:w="800" w:type="dxa"/>
          </w:tcPr>
          <w:p>
            <w:pPr>
              <w:pStyle w:val="4"/>
            </w:pPr>
          </w:p>
        </w:tc>
      </w:tr>
      <w:tr>
        <w:tblPrEx>
          <w:tblLayout w:type="fixed"/>
          <w:tblCellMar>
            <w:top w:w="0" w:type="dxa"/>
            <w:left w:w="10" w:type="dxa"/>
            <w:bottom w:w="0" w:type="dxa"/>
            <w:right w:w="10" w:type="dxa"/>
          </w:tblCellMar>
        </w:tblPrEx>
        <w:trPr>
          <w:trHeight w:val="102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5 投资账户信息</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0"/>
              </w:rPr>
              <w:t>序号</w:t>
            </w:r>
          </w:p>
        </w:tc>
        <w:tc>
          <w:tcPr>
            <w:tcW w:w="10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账户类型</w:t>
            </w:r>
          </w:p>
        </w:tc>
        <w:tc>
          <w:tcPr>
            <w:tcW w:w="5000" w:type="dxa"/>
            <w:gridSpan w:val="9"/>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账户名称</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账号</w:t>
            </w:r>
          </w:p>
        </w:tc>
        <w:tc>
          <w:tcPr>
            <w:tcW w:w="19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开户单位</w:t>
            </w:r>
          </w:p>
        </w:tc>
        <w:tc>
          <w:tcPr>
            <w:tcW w:w="800"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w:t>
            </w:r>
          </w:p>
        </w:tc>
        <w:tc>
          <w:tcPr>
            <w:tcW w:w="10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托管户</w:t>
            </w:r>
          </w:p>
        </w:tc>
        <w:tc>
          <w:tcPr>
            <w:tcW w:w="5000" w:type="dxa"/>
            <w:gridSpan w:val="9"/>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海安农商银行金蝶封闭式净值型理财产品49期</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0601080000000132</w:t>
            </w:r>
          </w:p>
        </w:tc>
        <w:tc>
          <w:tcPr>
            <w:tcW w:w="19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南京银行股份有限公司南通分行</w:t>
            </w:r>
          </w:p>
        </w:tc>
        <w:tc>
          <w:tcPr>
            <w:tcW w:w="800" w:type="dxa"/>
          </w:tcPr>
          <w:p>
            <w:pPr>
              <w:pStyle w:val="4"/>
            </w:pPr>
          </w:p>
        </w:tc>
      </w:tr>
      <w:tr>
        <w:tblPrEx>
          <w:tblLayout w:type="fixed"/>
          <w:tblCellMar>
            <w:top w:w="0" w:type="dxa"/>
            <w:left w:w="10" w:type="dxa"/>
            <w:bottom w:w="0" w:type="dxa"/>
            <w:right w:w="10" w:type="dxa"/>
          </w:tblCellMar>
        </w:tblPrEx>
        <w:trPr>
          <w:trHeight w:val="98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6 关联交易情况</w:t>
            </w:r>
          </w:p>
        </w:tc>
        <w:tc>
          <w:tcPr>
            <w:tcW w:w="800" w:type="dxa"/>
          </w:tcPr>
          <w:p>
            <w:pPr>
              <w:pStyle w:val="4"/>
            </w:pPr>
          </w:p>
        </w:tc>
      </w:tr>
      <w:tr>
        <w:tblPrEx>
          <w:tblLayout w:type="fixed"/>
          <w:tblCellMar>
            <w:top w:w="0" w:type="dxa"/>
            <w:left w:w="10" w:type="dxa"/>
            <w:bottom w:w="0" w:type="dxa"/>
            <w:right w:w="10" w:type="dxa"/>
          </w:tblCellMar>
        </w:tblPrEx>
        <w:trPr>
          <w:trHeight w:val="1400" w:hRule="exact"/>
        </w:trPr>
        <w:tc>
          <w:tcPr>
            <w:tcW w:w="1" w:type="dxa"/>
          </w:tcPr>
          <w:p>
            <w:pPr>
              <w:pStyle w:val="4"/>
            </w:pPr>
          </w:p>
        </w:tc>
        <w:tc>
          <w:tcPr>
            <w:tcW w:w="10700" w:type="dxa"/>
            <w:gridSpan w:val="17"/>
            <w:tcMar>
              <w:top w:w="0" w:type="dxa"/>
              <w:left w:w="80" w:type="dxa"/>
              <w:bottom w:w="0" w:type="dxa"/>
              <w:right w:w="0" w:type="dxa"/>
            </w:tcMar>
            <w:vAlign w:val="top"/>
          </w:tcPr>
          <w:p>
            <w:pPr>
              <w:jc w:val="left"/>
            </w:pPr>
            <w:r>
              <w:rPr>
                <w:rFonts w:ascii="原版宋体" w:hAnsi="原版宋体" w:eastAsia="原版宋体" w:cs="原版宋体"/>
                <w:color w:val="000000"/>
                <w:sz w:val="20"/>
              </w:rPr>
              <w:t>无</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3" w:name="JR_PAGE_ANCHOR_0_4"/>
            <w:bookmarkEnd w:id="3"/>
          </w:p>
        </w:tc>
        <w:tc>
          <w:tcPr>
            <w:tcW w:w="10700" w:type="dxa"/>
            <w:gridSpan w:val="17"/>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 xml:space="preserve">    报告期内，产品管理人通过合理安排资产配置结构，保持一定比例的高流动性资产，控制资产久期、杠杆融资比例，管控产品流动性风险。持仓中利率债、</w:t>
            </w:r>
            <w:bookmarkStart w:id="4" w:name="_GoBack"/>
            <w:bookmarkEnd w:id="4"/>
            <w:r>
              <w:rPr>
                <w:rFonts w:ascii="原版宋体" w:hAnsi="原版宋体" w:eastAsia="原版宋体" w:cs="原版宋体"/>
                <w:color w:val="000000"/>
                <w:sz w:val="20"/>
              </w:rPr>
              <w:t>高等级信用债占比较高，对于关键时点的规模变动和资金面波动都有充足的准备，且融资渠道畅通多元，风险总体可控。</w:t>
            </w:r>
          </w:p>
        </w:tc>
        <w:tc>
          <w:tcPr>
            <w:tcW w:w="800" w:type="dxa"/>
          </w:tcPr>
          <w:p>
            <w:pPr>
              <w:pStyle w:val="4"/>
            </w:pPr>
          </w:p>
        </w:tc>
      </w:tr>
      <w:tr>
        <w:tblPrEx>
          <w:tblLayout w:type="fixed"/>
          <w:tblCellMar>
            <w:top w:w="0" w:type="dxa"/>
            <w:left w:w="10" w:type="dxa"/>
            <w:bottom w:w="0" w:type="dxa"/>
            <w:right w:w="10" w:type="dxa"/>
          </w:tblCellMar>
        </w:tblPrEx>
        <w:trPr>
          <w:trHeight w:val="880" w:hRule="exact"/>
        </w:trPr>
        <w:tc>
          <w:tcPr>
            <w:tcW w:w="1" w:type="dxa"/>
          </w:tcPr>
          <w:p>
            <w:pPr>
              <w:pStyle w:val="4"/>
            </w:pPr>
          </w:p>
        </w:tc>
        <w:tc>
          <w:tcPr>
            <w:tcW w:w="10700" w:type="dxa"/>
            <w:gridSpan w:val="17"/>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pPr>
            <w:r>
              <w:rPr>
                <w:rFonts w:ascii="原版宋体" w:hAnsi="原版宋体" w:eastAsia="原版宋体" w:cs="原版宋体"/>
                <w:color w:val="000000"/>
                <w:sz w:val="20"/>
              </w:rPr>
              <w:t xml:space="preserve">    特此公告。</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jc w:val="right"/>
            </w:pPr>
            <w:r>
              <w:rPr>
                <w:rFonts w:ascii="原版宋体" w:hAnsi="原版宋体" w:eastAsia="原版宋体" w:cs="原版宋体"/>
                <w:color w:val="000000"/>
                <w:sz w:val="20"/>
              </w:rPr>
              <w:t>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jc w:val="right"/>
            </w:pPr>
            <w:r>
              <w:rPr>
                <w:rFonts w:ascii="原版宋体" w:hAnsi="原版宋体" w:eastAsia="原版宋体" w:cs="原版宋体"/>
                <w:color w:val="000000"/>
                <w:sz w:val="20"/>
              </w:rPr>
              <w:t>2021年12月31日</w:t>
            </w:r>
          </w:p>
        </w:tc>
        <w:tc>
          <w:tcPr>
            <w:tcW w:w="800" w:type="dxa"/>
          </w:tcPr>
          <w:p>
            <w:pPr>
              <w:pStyle w:val="4"/>
            </w:pPr>
          </w:p>
        </w:tc>
      </w:tr>
    </w:tbl>
    <w:p/>
    <w:sectPr>
      <w:pgSz w:w="13900" w:h="16840"/>
      <w:pgMar w:top="800" w:right="1200" w:bottom="440" w:left="12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原版宋体">
    <w:altName w:val="宋体"/>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28012D3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Office_11.8.2.8696_F1E327BC-269C-435d-A152-05C5408002CA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2022-02-10T02:14:45Z</dcterms:created>
  <dc:creator>john</dc:creator>
  <cp:lastModifiedBy>黄成梅</cp:lastModifiedBy>
  <dcterms:modified xsi:type="dcterms:W3CDTF">2022-02-10T02:15:19Z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