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1501" w:type="dxa"/>
        <w:tblInd w:w="0" w:type="dxa"/>
        <w:tblLayout w:type="fixed"/>
        <w:tblCellMar>
          <w:top w:w="0" w:type="dxa"/>
          <w:left w:w="10" w:type="dxa"/>
          <w:bottom w:w="0" w:type="dxa"/>
          <w:right w:w="10" w:type="dxa"/>
        </w:tblCellMar>
      </w:tblPr>
      <w:tblGrid>
        <w:gridCol w:w="1"/>
        <w:gridCol w:w="800"/>
        <w:gridCol w:w="1000"/>
        <w:gridCol w:w="1000"/>
        <w:gridCol w:w="400"/>
        <w:gridCol w:w="200"/>
        <w:gridCol w:w="200"/>
        <w:gridCol w:w="400"/>
        <w:gridCol w:w="20"/>
        <w:gridCol w:w="980"/>
        <w:gridCol w:w="1600"/>
        <w:gridCol w:w="200"/>
        <w:gridCol w:w="200"/>
        <w:gridCol w:w="400"/>
        <w:gridCol w:w="220"/>
        <w:gridCol w:w="1180"/>
        <w:gridCol w:w="200"/>
        <w:gridCol w:w="1700"/>
        <w:gridCol w:w="800"/>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8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240" w:lineRule="auto"/>
              <w:jc w:val="center"/>
            </w:pPr>
            <w:r>
              <w:rPr>
                <w:rFonts w:ascii="原版宋体" w:hAnsi="原版宋体" w:eastAsia="原版宋体" w:cs="原版宋体"/>
                <w:b/>
                <w:color w:val="000000"/>
                <w:sz w:val="40"/>
              </w:rPr>
              <w:t>“金蝶封闭式净值型48期”年度报告</w:t>
            </w:r>
          </w:p>
        </w:tc>
        <w:tc>
          <w:tcPr>
            <w:tcW w:w="800" w:type="dxa"/>
          </w:tcPr>
          <w:p>
            <w:pPr>
              <w:pStyle w:val="4"/>
            </w:pPr>
          </w:p>
        </w:tc>
      </w:tr>
      <w:tr>
        <w:tblPrEx>
          <w:tblLayout w:type="fixed"/>
          <w:tblCellMar>
            <w:top w:w="0" w:type="dxa"/>
            <w:left w:w="10" w:type="dxa"/>
            <w:bottom w:w="0" w:type="dxa"/>
            <w:right w:w="10" w:type="dxa"/>
          </w:tblCellMar>
        </w:tblPrEx>
        <w:trPr>
          <w:trHeight w:val="2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产品管理人：江苏海安农村商业银行股份有限公司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产品托管人：南京银行股份有限公司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发布时间：2021年12月31日</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b/>
                <w:color w:val="000000"/>
                <w:sz w:val="20"/>
              </w:rPr>
              <w:t>1  重要提示</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产品的过往业绩并不代表其未来表现。投资有风险，投资者在作出投资决策前应仔细阅读本产品说明书。</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本报告中财务资料未经审计。</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本报告期自2021年06月02日起至12月31日止。</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2  产品概况</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产品名称</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金蝶封闭式净值型48期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JDFB20210602</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全国银行业理财信息登记系统编码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C1152521000070</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产品运作方式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封闭式净值型</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产品类型</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固定收益类</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募集方式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公募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报告期末产品份额总额</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6,585,000.00</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业绩比较基准</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3.7800%-3.7800%</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产品单位净值披露</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产品单位净值为提取相关费用后的单位产品净值。产品单位净值的计算按照四舍五入原则，保留至小数点后4位。2.在本产品存续期内，每周四公布前一个自然日产品单位净值，如遇中国大陆法定休假日则顺延至下一个工作日。3.本产品到期，根据到期日产品单位净值计算客户到期金额。</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产品管理人</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3  主要财务指标和产品净值表现</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3.1 主要财务指标</w:t>
            </w:r>
          </w:p>
        </w:tc>
        <w:tc>
          <w:tcPr>
            <w:tcW w:w="7300" w:type="dxa"/>
            <w:gridSpan w:val="12"/>
            <w:tcMar>
              <w:top w:w="0" w:type="dxa"/>
              <w:left w:w="0" w:type="dxa"/>
              <w:bottom w:w="0" w:type="dxa"/>
              <w:right w:w="0" w:type="dxa"/>
            </w:tcMar>
            <w:vAlign w:val="center"/>
          </w:tcPr>
          <w:p>
            <w:pPr>
              <w:spacing w:before="0" w:after="0" w:line="360" w:lineRule="auto"/>
              <w:jc w:val="right"/>
            </w:pPr>
            <w:r>
              <w:rPr>
                <w:rFonts w:ascii="原版宋体" w:hAnsi="原版宋体" w:eastAsia="原版宋体" w:cs="原版宋体"/>
                <w:color w:val="000000"/>
                <w:sz w:val="20"/>
              </w:rPr>
              <w:t>（单位：元）</w:t>
            </w:r>
          </w:p>
        </w:tc>
        <w:tc>
          <w:tcPr>
            <w:tcW w:w="800"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主要财务指标</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报告期（2021年06月02日-2021年12月31日）</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1.本期已实现收益</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135,443.20</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1" w:name="JR_PAGE_ANCHOR_0_2"/>
            <w:bookmarkEnd w:id="1"/>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2.本期利润</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135,545.15</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3.期末产品资产净值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6,720,545.15</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4.期末产品份额净值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1.020584</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5.期末产品份额累计净值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1.020584</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 杠杆水平</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119.56%</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注：所述产品业绩指标不包括持有人认购或交易产品的各项费用，计入费用后实际收益水平要低于所列数字。</w:t>
            </w:r>
          </w:p>
        </w:tc>
        <w:tc>
          <w:tcPr>
            <w:tcW w:w="800" w:type="dxa"/>
          </w:tcPr>
          <w:p>
            <w:pPr>
              <w:pStyle w:val="4"/>
            </w:pPr>
          </w:p>
        </w:tc>
      </w:tr>
      <w:tr>
        <w:tblPrEx>
          <w:tblLayout w:type="fixed"/>
          <w:tblCellMar>
            <w:top w:w="0" w:type="dxa"/>
            <w:left w:w="10" w:type="dxa"/>
            <w:bottom w:w="0" w:type="dxa"/>
            <w:right w:w="10" w:type="dxa"/>
          </w:tblCellMar>
        </w:tblPrEx>
        <w:trPr>
          <w:trHeight w:val="6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4  投资组合报告</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4.1 报告期末产品资产组合情况</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项目</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占产品总资产的比例（%）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8,017,945.00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99.79%</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其中：债券</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8,017,945.00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99.79%</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      非标资产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权益投资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其中：基金</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金融衍生品投资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买入返售金融资产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其中：买断式回购</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银行存款合计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17,090.62</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0.21%</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8,035,035.62</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100.00%</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4.2 报告期末按债券品种分类的债券投资组合</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债券品种</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国家债券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央行票据</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3,014,289.89</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44.85%</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其中：政策性金融债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5,003,655.11</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74.45%</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企业短期融资券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可转债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8</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8,017,945.00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119.30%</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2" w:name="JR_PAGE_ANCHOR_0_3"/>
            <w:bookmarkEnd w:id="2"/>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4.3 报告期末按市值占产品资产净值比例大小排名的前十名资产投资明细</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资产代码</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资产名称</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数量</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市值(元)</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1</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101800783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18北控水务MTN002B</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600,000.00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628,531.79</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9.35%</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2</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032100913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21吴中城投PPN004</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600,000.00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610,759.01</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9.09%</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3</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101901419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19川能投MTN004A</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600,000.00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608,009.07</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9.05%</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4</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2128041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21广发银行小微债</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600,000.00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605,436.98</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9.01%</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5</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032000690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20晋江建投PPN003</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550,000.00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565,601.48</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8.42%</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6</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1880163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18首旅债01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550,000.00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559,004.39</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8.32%</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4.4 报告期末投资组合流动性风险分析</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流动性资产市值（元）</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产品资产净值（元）</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流动性资产占比（%）</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17,090.62</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6,720,545.15</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0.25%</w:t>
            </w:r>
          </w:p>
        </w:tc>
        <w:tc>
          <w:tcPr>
            <w:tcW w:w="800" w:type="dxa"/>
          </w:tcPr>
          <w:p>
            <w:pPr>
              <w:pStyle w:val="4"/>
            </w:pPr>
          </w:p>
        </w:tc>
      </w:tr>
      <w:tr>
        <w:tblPrEx>
          <w:tblLayout w:type="fixed"/>
          <w:tblCellMar>
            <w:top w:w="0" w:type="dxa"/>
            <w:left w:w="10" w:type="dxa"/>
            <w:bottom w:w="0" w:type="dxa"/>
            <w:right w:w="10" w:type="dxa"/>
          </w:tblCellMar>
        </w:tblPrEx>
        <w:trPr>
          <w:trHeight w:val="102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5 投资账户信息</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序号</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账户类型</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账户名称</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账号</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开户单位</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托管户</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海安农商银行金蝶封闭式净值型理财产品48期</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0601080000000131</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南京银行股份有限公司南通分行</w:t>
            </w:r>
          </w:p>
        </w:tc>
        <w:tc>
          <w:tcPr>
            <w:tcW w:w="800" w:type="dxa"/>
          </w:tcPr>
          <w:p>
            <w:pPr>
              <w:pStyle w:val="4"/>
            </w:pPr>
          </w:p>
        </w:tc>
      </w:tr>
      <w:tr>
        <w:tblPrEx>
          <w:tblLayout w:type="fixed"/>
          <w:tblCellMar>
            <w:top w:w="0" w:type="dxa"/>
            <w:left w:w="10" w:type="dxa"/>
            <w:bottom w:w="0" w:type="dxa"/>
            <w:right w:w="10" w:type="dxa"/>
          </w:tblCellMar>
        </w:tblPrEx>
        <w:trPr>
          <w:trHeight w:val="9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6 关联交易情况</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10700" w:type="dxa"/>
            <w:gridSpan w:val="17"/>
            <w:tcMar>
              <w:top w:w="0" w:type="dxa"/>
              <w:left w:w="80" w:type="dxa"/>
              <w:bottom w:w="0" w:type="dxa"/>
              <w:right w:w="0" w:type="dxa"/>
            </w:tcMar>
            <w:vAlign w:val="top"/>
          </w:tcPr>
          <w:p>
            <w:pPr>
              <w:jc w:val="left"/>
            </w:pPr>
            <w:r>
              <w:rPr>
                <w:rFonts w:ascii="原版宋体" w:hAnsi="原版宋体" w:eastAsia="原版宋体" w:cs="原版宋体"/>
                <w:color w:val="000000"/>
                <w:sz w:val="20"/>
              </w:rPr>
              <w:t>无</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3" w:name="JR_PAGE_ANCHOR_0_4"/>
            <w:bookmarkEnd w:id="3"/>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报告期内，产品管理人通过合理安排资产配置结构，保持一定比例的高流动性资产，控制资产久期、杠杆融资比例，管控产品流动性风险。持仓中利率债、</w:t>
            </w:r>
            <w:bookmarkStart w:id="4" w:name="_GoBack"/>
            <w:bookmarkEnd w:id="4"/>
            <w:r>
              <w:rPr>
                <w:rFonts w:ascii="原版宋体" w:hAnsi="原版宋体" w:eastAsia="原版宋体" w:cs="原版宋体"/>
                <w:color w:val="000000"/>
                <w:sz w:val="20"/>
              </w:rPr>
              <w:t>高等级信用债占比较高，对于关键时点的规模变动和资金面波动都有充足的准备，且融资渠道畅通多元，风险总体可控。</w:t>
            </w:r>
          </w:p>
        </w:tc>
        <w:tc>
          <w:tcPr>
            <w:tcW w:w="800" w:type="dxa"/>
          </w:tcPr>
          <w:p>
            <w:pPr>
              <w:pStyle w:val="4"/>
            </w:pPr>
          </w:p>
        </w:tc>
      </w:tr>
      <w:tr>
        <w:tblPrEx>
          <w:tblLayout w:type="fixed"/>
          <w:tblCellMar>
            <w:top w:w="0" w:type="dxa"/>
            <w:left w:w="10" w:type="dxa"/>
            <w:bottom w:w="0" w:type="dxa"/>
            <w:right w:w="10" w:type="dxa"/>
          </w:tblCellMar>
        </w:tblPrEx>
        <w:trPr>
          <w:trHeight w:val="880" w:hRule="exact"/>
        </w:trPr>
        <w:tc>
          <w:tcPr>
            <w:tcW w:w="1" w:type="dxa"/>
          </w:tcPr>
          <w:p>
            <w:pPr>
              <w:pStyle w:val="4"/>
            </w:pPr>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pPr>
            <w:r>
              <w:rPr>
                <w:rFonts w:ascii="原版宋体" w:hAnsi="原版宋体" w:eastAsia="原版宋体" w:cs="原版宋体"/>
                <w:color w:val="000000"/>
                <w:sz w:val="20"/>
              </w:rPr>
              <w:t xml:space="preserve">    特此公告。</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2021年12月31日</w:t>
            </w:r>
          </w:p>
        </w:tc>
        <w:tc>
          <w:tcPr>
            <w:tcW w:w="800" w:type="dxa"/>
          </w:tcPr>
          <w:p>
            <w:pPr>
              <w:pStyle w:val="4"/>
            </w:pPr>
          </w:p>
        </w:tc>
      </w:tr>
    </w:tbl>
    <w:p/>
    <w:sectPr>
      <w:pgSz w:w="13900" w:h="16840"/>
      <w:pgMar w:top="800" w:right="1200" w:bottom="440" w:left="12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原版宋体">
    <w:altName w:val="宋体"/>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6411474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Office_11.8.2.8696_F1E327BC-269C-435d-A152-05C5408002CA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2022-02-10T02:14:19Z</dcterms:created>
  <dc:creator>john</dc:creator>
  <cp:lastModifiedBy>黄成梅</cp:lastModifiedBy>
  <dcterms:modified xsi:type="dcterms:W3CDTF">2022-02-10T02:14:37Z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