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400"/>
        <w:gridCol w:w="200"/>
        <w:gridCol w:w="7100"/>
        <w:gridCol w:w="80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800"/>
        </w:trPr>
        <w:tc>
          <w:tcPr>
     </w:tcPr>
          <w:p>
            <w:pPr>
              <w:pStyle w:val="EMPTY_CELL_STYLE"/>
            </w:pPr>
          </w:p>
        </w:tc>
        <w:tc>
          <w:tcPr>
            <w:gridSpan w:val="3"/>
            <w:tcMar>
              <w:top w:w="0" w:type="dxa"/>
              <w:left w:w="0" w:type="dxa"/>
              <w:bottom w:w="0" w:type="dxa"/>
              <w:right w:w="0" w:type="dxa"/>
            </w:tcMar>
            <w:vAlign w:val="center"/>
          </w:tcPr>
          <w:p>
            <w:pPr>
              <w:ind/>
              <w:jc w:val="center"/>
              <w:spacing w:lineRule="auto" w:line="240" w:after="0" w:before="0"/>
            </w:pPr>
            <w:r>
              <w:rPr>
                <w:rFonts w:ascii="原版宋体" w:hAnsi="原版宋体" w:eastAsia="原版宋体" w:cs="原版宋体"/>
                <w:color w:val="000000"/>
                <w:sz w:val="40"/>
                <w:b w:val="true"/>
              </w:rPr>
              <w:t xml:space="preserve">“金蝶封闭式净值型52期”季度报告</w:t>
            </w:r>
          </w:p>
        </w:tc>
        <w:tc>
          <w:tcPr>
     </w:tcPr>
          <w:p>
            <w:pPr>
              <w:pStyle w:val="EMPTY_CELL_STYLE"/>
            </w:pPr>
          </w:p>
        </w:tc>
      </w:tr>
      <w:tr>
        <w:trPr>
          <w:trHeight w:hRule="exact" w:val="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3"/>
            <w:tcMar>
              <w:top w:w="0" w:type="dxa"/>
              <w:left w:w="0" w:type="dxa"/>
              <w:bottom w:w="0" w:type="dxa"/>
              <w:right w:w="0" w:type="dxa"/>
            </w:tcMar>
            <w:vAlign w:val="top"/>
          </w:tcPr>
          <w:p>
            <w:pPr>
              <w:ind/>
            </w:pPr>
            <w:r>
              <w:rPr>
                <w:rFonts w:ascii="原版宋体" w:hAnsi="原版宋体" w:eastAsia="原版宋体" w:cs="原版宋体"/>
                <w:color w:val="000000"/>
                <w:sz w:val="20"/>
              </w:rPr>
              <w:t xml:space="preserve">产品管理人：江苏海安农村商业银行股份有限公司</w:t>
            </w:r>
          </w:p>
        </w:tc>
        <w:tc>
          <w:tcPr>
     </w:tcPr>
          <w:p>
            <w:pPr>
              <w:pStyle w:val="EMPTY_CELL_STYLE"/>
            </w:pPr>
          </w:p>
        </w:tc>
      </w:tr>
      <w:tr>
        <w:trPr>
          <w:trHeight w:hRule="exact" w:val="400"/>
        </w:trPr>
        <w:tc>
          <w:tcPr>
     </w:tcPr>
          <w:p>
            <w:pPr>
              <w:pStyle w:val="EMPTY_CELL_STYLE"/>
            </w:pPr>
          </w:p>
        </w:tc>
        <w:tc>
          <w:tcPr>
            <w:gridSpan w:val="3"/>
            <w:tcMar>
              <w:top w:w="0" w:type="dxa"/>
              <w:left w:w="0" w:type="dxa"/>
              <w:bottom w:w="0" w:type="dxa"/>
              <w:right w:w="0" w:type="dxa"/>
            </w:tcMar>
            <w:vAlign w:val="top"/>
          </w:tcPr>
          <w:p>
            <w:pPr>
              <w:ind/>
            </w:pPr>
            <w:r>
              <w:rPr>
                <w:rFonts w:ascii="原版宋体" w:hAnsi="原版宋体" w:eastAsia="原版宋体" w:cs="原版宋体"/>
                <w:color w:val="000000"/>
                <w:sz w:val="20"/>
              </w:rPr>
              <w:t xml:space="preserve">产品托管人：南京银行股份有限公司</w:t>
            </w:r>
          </w:p>
        </w:tc>
        <w:tc>
          <w:tcPr>
     </w:tcPr>
          <w:p>
            <w:pPr>
              <w:pStyle w:val="EMPTY_CELL_STYLE"/>
            </w:pPr>
          </w:p>
        </w:tc>
      </w:tr>
      <w:tr>
        <w:trPr>
          <w:trHeight w:hRule="exact" w:val="400"/>
        </w:trPr>
        <w:tc>
          <w:tcPr>
     </w:tcPr>
          <w:p>
            <w:pPr>
              <w:pStyle w:val="EMPTY_CELL_STYLE"/>
            </w:pPr>
          </w:p>
        </w:tc>
        <w:tc>
          <w:tcPr>
            <w:gridSpan w:val="3"/>
            <w:tcMar>
              <w:top w:w="0" w:type="dxa"/>
              <w:left w:w="0" w:type="dxa"/>
              <w:bottom w:w="0" w:type="dxa"/>
              <w:right w:w="0" w:type="dxa"/>
            </w:tcMar>
            <w:vAlign w:val="top"/>
          </w:tcPr>
          <w:p>
            <w:pPr>
              <w:ind/>
            </w:pPr>
            <w:r>
              <w:rPr>
                <w:rFonts w:ascii="原版宋体" w:hAnsi="原版宋体" w:eastAsia="原版宋体" w:cs="原版宋体"/>
                <w:color w:val="000000"/>
                <w:sz w:val="20"/>
              </w:rPr>
              <w:t xml:space="preserve">发布时间：2021年09月30日</w:t>
            </w: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500"/>
        </w:trPr>
        <w:tc>
          <w:tcPr>
     </w:tcPr>
          <w:p>
            <w:pPr>
              <w:pStyle w:val="EMPTY_CELL_STYLE"/>
            </w:pPr>
          </w:p>
        </w:tc>
        <w:tc>
          <w:tcPr>
            <w:gridSpan w:val="3"/>
            <w:tcMar>
              <w:top w:w="0" w:type="dxa"/>
              <w:left w:w="0" w:type="dxa"/>
              <w:bottom w:w="0" w:type="dxa"/>
              <w:right w:w="0" w:type="dxa"/>
            </w:tcMar>
            <w:vAlign w:val="top"/>
          </w:tcPr>
          <w:p>
            <w:pPr>
              <w:ind/>
            </w:pPr>
            <w:r>
              <w:rPr>
                <w:rFonts w:ascii="原版宋体" w:hAnsi="原版宋体" w:eastAsia="原版宋体" w:cs="原版宋体"/>
                <w:color w:val="000000"/>
                <w:sz w:val="20"/>
                <w:b w:val="true"/>
              </w:rPr>
              <w:t xml:space="preserve">1  重要提示</w:t>
            </w:r>
          </w:p>
        </w:tc>
        <w:tc>
          <w:tcPr>
     </w:tcPr>
          <w:p>
            <w:pPr>
              <w:pStyle w:val="EMPTY_CELL_STYLE"/>
            </w:pPr>
          </w:p>
        </w:tc>
      </w:tr>
      <w:tr>
        <w:trPr>
          <w:trHeight w:hRule="exact" w:val="400"/>
        </w:trPr>
        <w:tc>
          <w:tcPr>
     </w:tcPr>
          <w:p>
            <w:pPr>
              <w:pStyle w:val="EMPTY_CELL_STYLE"/>
            </w:pPr>
          </w:p>
        </w:tc>
        <w:tc>
          <w:tcPr>
            <w:gridSpan w:val="3"/>
            <w:tcMar>
              <w:top w:w="0" w:type="dxa"/>
              <w:left w:w="0" w:type="dxa"/>
              <w:bottom w:w="0" w:type="dxa"/>
              <w:right w:w="0" w:type="dxa"/>
            </w:tcMar>
            <w:vAlign w:val="top"/>
          </w:tcPr>
          <w:p>
            <w:pPr>
              <w:ind/>
            </w:pPr>
            <w:r>
              <w:rPr>
                <w:rFonts w:ascii="原版宋体" w:hAnsi="原版宋体" w:eastAsia="原版宋体" w:cs="原版宋体"/>
                <w:color w:val="000000"/>
                <w:sz w:val="20"/>
              </w:rPr>
              <w:t xml:space="preserve">    产品的过往业绩并不代表其未来表现。投资有风险，投资者在作出投资决策前应仔细阅读本产品说明书。</w:t>
            </w:r>
          </w:p>
        </w:tc>
        <w:tc>
          <w:tcPr>
     </w:tcPr>
          <w:p>
            <w:pPr>
              <w:pStyle w:val="EMPTY_CELL_STYLE"/>
            </w:pPr>
          </w:p>
        </w:tc>
      </w:tr>
      <w:tr>
        <w:trPr>
          <w:trHeight w:hRule="exact" w:val="400"/>
        </w:trPr>
        <w:tc>
          <w:tcPr>
     </w:tcPr>
          <w:p>
            <w:pPr>
              <w:pStyle w:val="EMPTY_CELL_STYLE"/>
            </w:pPr>
          </w:p>
        </w:tc>
        <w:tc>
          <w:tcPr>
            <w:gridSpan w:val="3"/>
            <w:tcMar>
              <w:top w:w="0" w:type="dxa"/>
              <w:left w:w="0" w:type="dxa"/>
              <w:bottom w:w="0" w:type="dxa"/>
              <w:right w:w="0" w:type="dxa"/>
            </w:tcMar>
            <w:vAlign w:val="top"/>
          </w:tcPr>
          <w:p>
            <w:pPr>
              <w:ind/>
            </w:pPr>
            <w:r>
              <w:rPr>
                <w:rFonts w:ascii="原版宋体" w:hAnsi="原版宋体" w:eastAsia="原版宋体" w:cs="原版宋体"/>
                <w:color w:val="000000"/>
                <w:sz w:val="20"/>
              </w:rPr>
              <w:t xml:space="preserve">    本报告中财务资料未经审计。</w:t>
            </w:r>
          </w:p>
        </w:tc>
        <w:tc>
          <w:tcPr>
     </w:tcPr>
          <w:p>
            <w:pPr>
              <w:pStyle w:val="EMPTY_CELL_STYLE"/>
            </w:pPr>
          </w:p>
        </w:tc>
      </w:tr>
      <w:tr>
        <w:trPr>
          <w:trHeight w:hRule="exact" w:val="400"/>
        </w:trPr>
        <w:tc>
          <w:tcPr>
     </w:tcPr>
          <w:p>
            <w:pPr>
              <w:pStyle w:val="EMPTY_CELL_STYLE"/>
            </w:pPr>
          </w:p>
        </w:tc>
        <w:tc>
          <w:tcPr>
            <w:gridSpan w:val="3"/>
            <w:tcMar>
              <w:top w:w="0" w:type="dxa"/>
              <w:left w:w="0" w:type="dxa"/>
              <w:bottom w:w="0" w:type="dxa"/>
              <w:right w:w="0" w:type="dxa"/>
            </w:tcMar>
            <w:vAlign w:val="top"/>
          </w:tcPr>
          <w:p>
            <w:pPr>
              <w:ind/>
            </w:pPr>
            <w:r>
              <w:rPr>
                <w:rFonts w:ascii="原版宋体" w:hAnsi="原版宋体" w:eastAsia="原版宋体" w:cs="原版宋体"/>
                <w:color w:val="000000"/>
                <w:sz w:val="20"/>
              </w:rPr>
              <w:t xml:space="preserve">    本报告期自2021年07月01日起至09月30日止。</w:t>
            </w: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500"/>
        </w:trPr>
        <w:tc>
          <w:tcPr>
     </w:tcPr>
          <w:p>
            <w:pPr>
              <w:pStyle w:val="EMPTY_CELL_STYLE"/>
            </w:pPr>
          </w:p>
        </w:tc>
        <w:tc>
          <w:tcPr>
            <w:gridSpan w:val="3"/>
            <w:tcMar>
              <w:top w:w="0" w:type="dxa"/>
              <w:left w:w="0" w:type="dxa"/>
              <w:bottom w:w="0" w:type="dxa"/>
              <w:right w:w="0" w:type="dxa"/>
            </w:tcMar>
            <w:vAlign w:val="center"/>
          </w:tcPr>
          <w:p>
            <w:pPr>
              <w:ind/>
              <w:spacing w:lineRule="auto" w:line="360" w:after="0" w:before="0"/>
            </w:pPr>
            <w:r>
              <w:rPr>
                <w:rFonts w:ascii="原版宋体" w:hAnsi="原版宋体" w:eastAsia="原版宋体" w:cs="原版宋体"/>
                <w:color w:val="000000"/>
                <w:sz w:val="20"/>
                <w:b w:val="true"/>
              </w:rPr>
              <w:t xml:space="preserve">2  产品概况</w:t>
            </w:r>
          </w:p>
        </w:tc>
        <w:tc>
          <w:tcPr>
     </w:tcPr>
          <w:p>
            <w:pPr>
              <w:pStyle w:val="EMPTY_CELL_STYLE"/>
            </w:pPr>
          </w:p>
        </w:tc>
      </w:tr>
      <w:tr>
        <w:trPr>
          <w:trHeight w:hRule="exact" w:val="800"/>
        </w:trPr>
        <w:tc>
          <w:tcPr>
     </w:tcPr>
          <w:p>
            <w:pPr>
              <w:pStyle w:val="EMPTY_CELL_STYLE"/>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产品名称</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金蝶封闭式净值型52期</w:t>
            </w:r>
          </w:p>
        </w:tc>
        <w:tc>
          <w:tcPr>
     </w:tcPr>
          <w:p>
            <w:pPr>
              <w:pStyle w:val="EMPTY_CELL_STYLE"/>
            </w:pPr>
          </w:p>
        </w:tc>
      </w:tr>
      <w:tr>
        <w:trPr>
          <w:trHeight w:hRule="exact" w:val="400"/>
        </w:trPr>
        <w:tc>
          <w:tcPr>
     </w:tcPr>
          <w:p>
            <w:pPr>
              <w:pStyle w:val="EMPTY_CELL_STYLE"/>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产品编码</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JDFB20210701</w:t>
            </w:r>
          </w:p>
        </w:tc>
        <w:tc>
          <w:tcPr>
     </w:tcPr>
          <w:p>
            <w:pPr>
              <w:pStyle w:val="EMPTY_CELL_STYLE"/>
            </w:pPr>
          </w:p>
        </w:tc>
      </w:tr>
      <w:tr>
        <w:trPr>
          <w:trHeight w:hRule="exact" w:val="400"/>
        </w:trPr>
        <w:tc>
          <w:tcPr>
     </w:tcPr>
          <w:p>
            <w:pPr>
              <w:pStyle w:val="EMPTY_CELL_STYLE"/>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全国银行业理财信息登记系统编码</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C1152521000082</w:t>
            </w:r>
          </w:p>
        </w:tc>
        <w:tc>
          <w:tcPr>
     </w:tcPr>
          <w:p>
            <w:pPr>
              <w:pStyle w:val="EMPTY_CELL_STYLE"/>
            </w:pPr>
          </w:p>
        </w:tc>
      </w:tr>
      <w:tr>
        <w:trPr>
          <w:trHeight w:hRule="exact" w:val="400"/>
        </w:trPr>
        <w:tc>
          <w:tcPr>
     </w:tcPr>
          <w:p>
            <w:pPr>
              <w:pStyle w:val="EMPTY_CELL_STYLE"/>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产品运作方式</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封闭式净值型</w:t>
            </w:r>
          </w:p>
        </w:tc>
        <w:tc>
          <w:tcPr>
     </w:tcPr>
          <w:p>
            <w:pPr>
              <w:pStyle w:val="EMPTY_CELL_STYLE"/>
            </w:pPr>
          </w:p>
        </w:tc>
      </w:tr>
      <w:tr>
        <w:trPr>
          <w:trHeight w:hRule="exact" w:val="400"/>
        </w:trPr>
        <w:tc>
          <w:tcPr>
     </w:tcPr>
          <w:p>
            <w:pPr>
              <w:pStyle w:val="EMPTY_CELL_STYLE"/>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产品类型</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固定收益类</w:t>
            </w:r>
          </w:p>
        </w:tc>
        <w:tc>
          <w:tcPr>
     </w:tcPr>
          <w:p>
            <w:pPr>
              <w:pStyle w:val="EMPTY_CELL_STYLE"/>
            </w:pPr>
          </w:p>
        </w:tc>
      </w:tr>
      <w:tr>
        <w:trPr>
          <w:trHeight w:hRule="exact" w:val="400"/>
        </w:trPr>
        <w:tc>
          <w:tcPr>
     </w:tcPr>
          <w:p>
            <w:pPr>
              <w:pStyle w:val="EMPTY_CELL_STYLE"/>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募集方式</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公募</w:t>
            </w:r>
          </w:p>
        </w:tc>
        <w:tc>
          <w:tcPr>
     </w:tcPr>
          <w:p>
            <w:pPr>
              <w:pStyle w:val="EMPTY_CELL_STYLE"/>
            </w:pPr>
          </w:p>
        </w:tc>
      </w:tr>
      <w:tr>
        <w:trPr>
          <w:trHeight w:hRule="exact" w:val="400"/>
        </w:trPr>
        <w:tc>
          <w:tcPr>
     </w:tcPr>
          <w:p>
            <w:pPr>
              <w:pStyle w:val="EMPTY_CELL_STYLE"/>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报告期末产品份额总额</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16,355,000.00</w:t>
            </w:r>
          </w:p>
        </w:tc>
        <w:tc>
          <w:tcPr>
     </w:tcPr>
          <w:p>
            <w:pPr>
              <w:pStyle w:val="EMPTY_CELL_STYLE"/>
            </w:pPr>
          </w:p>
        </w:tc>
      </w:tr>
      <w:tr>
        <w:trPr>
          <w:trHeight w:hRule="exact" w:val="400"/>
        </w:trPr>
        <w:tc>
          <w:tcPr>
     </w:tcPr>
          <w:p>
            <w:pPr>
              <w:pStyle w:val="EMPTY_CELL_STYLE"/>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业绩比较基准</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3.7800%-3.7800%</w:t>
            </w:r>
          </w:p>
        </w:tc>
        <w:tc>
          <w:tcPr>
     </w:tcPr>
          <w:p>
            <w:pPr>
              <w:pStyle w:val="EMPTY_CELL_STYLE"/>
            </w:pPr>
          </w:p>
        </w:tc>
      </w:tr>
      <w:tr>
        <w:trPr>
          <w:trHeight w:hRule="exact" w:val="1400"/>
        </w:trPr>
        <w:tc>
          <w:tcPr>
     </w:tcPr>
          <w:p>
            <w:pPr>
              <w:pStyle w:val="EMPTY_CELL_STYLE"/>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产品单位净值披露</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1.产品单位净值为提取相关费用后的单位产品净值。产品单位净值的计算按照四舍五入原则，保留至小数点后4位。2.在本产品存续期内，每周四公布前一个自然日产品单位净值，如遇中国大陆法定休假日则顺延至下一个工作日。3.本产品到期，根据到期日产品单位净值计算客户到期金额。</w:t>
            </w:r>
          </w:p>
        </w:tc>
        <w:tc>
          <w:tcPr>
     </w:tcPr>
          <w:p>
            <w:pPr>
              <w:pStyle w:val="EMPTY_CELL_STYLE"/>
            </w:pPr>
          </w:p>
        </w:tc>
      </w:tr>
      <w:tr>
        <w:trPr>
          <w:trHeight w:hRule="exact" w:val="400"/>
        </w:trPr>
        <w:tc>
          <w:tcPr>
     </w:tcPr>
          <w:p>
            <w:pPr>
              <w:pStyle w:val="EMPTY_CELL_STYLE"/>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产品管理人</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江苏海安农村商业银行股份有限公司</w:t>
            </w:r>
          </w:p>
        </w:tc>
        <w:tc>
          <w:tcPr>
     </w:tcPr>
          <w:p>
            <w:pPr>
              <w:pStyle w:val="EMPTY_CELL_STYLE"/>
            </w:pPr>
          </w:p>
        </w:tc>
      </w:tr>
      <w:tr>
        <w:trPr>
          <w:trHeight w:hRule="exact" w:val="8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500"/>
        </w:trPr>
        <w:tc>
          <w:tcPr>
     </w:tcPr>
          <w:p>
            <w:pPr>
              <w:pStyle w:val="EMPTY_CELL_STYLE"/>
            </w:pPr>
          </w:p>
        </w:tc>
        <w:tc>
          <w:tcPr>
            <w:gridSpan w:val="3"/>
            <w:tcMar>
              <w:top w:w="0" w:type="dxa"/>
              <w:left w:w="0" w:type="dxa"/>
              <w:bottom w:w="0" w:type="dxa"/>
              <w:right w:w="0" w:type="dxa"/>
            </w:tcMar>
            <w:vAlign w:val="center"/>
          </w:tcPr>
          <w:p>
            <w:pPr>
              <w:ind/>
              <w:spacing w:lineRule="auto" w:line="360" w:after="0" w:before="0"/>
            </w:pPr>
            <w:r>
              <w:rPr>
                <w:rFonts w:ascii="原版宋体" w:hAnsi="原版宋体" w:eastAsia="原版宋体" w:cs="原版宋体"/>
                <w:color w:val="000000"/>
                <w:sz w:val="20"/>
                <w:b w:val="true"/>
              </w:rPr>
              <w:t xml:space="preserve">3  主要财务指标和产品净值表现</w:t>
            </w:r>
          </w:p>
        </w:tc>
        <w:tc>
          <w:tcPr>
     </w:tcPr>
          <w:p>
            <w:pPr>
              <w:pStyle w:val="EMPTY_CELL_STYLE"/>
            </w:pPr>
          </w:p>
        </w:tc>
      </w:tr>
      <w:tr>
        <w:trPr>
          <w:trHeight w:hRule="exact" w:val="440"/>
        </w:trPr>
        <w:tc>
          <w:tcPr>
     </w:tcPr>
          <w:p>
            <w:pPr>
              <w:pStyle w:val="EMPTY_CELL_STYLE"/>
            </w:pPr>
          </w:p>
        </w:tc>
        <w:tc>
          <w:tcPr>
            <w:tcMar>
              <w:top w:w="0" w:type="dxa"/>
              <w:left w:w="0" w:type="dxa"/>
              <w:bottom w:w="0" w:type="dxa"/>
              <w:right w:w="0" w:type="dxa"/>
            </w:tcMar>
            <w:vAlign w:val="center"/>
          </w:tcPr>
          <w:p>
            <w:pPr>
              <w:ind/>
              <w:spacing w:lineRule="auto" w:line="360" w:after="0" w:before="0"/>
            </w:pPr>
            <w:r>
              <w:rPr>
                <w:rFonts w:ascii="原版宋体" w:hAnsi="原版宋体" w:eastAsia="原版宋体" w:cs="原版宋体"/>
                <w:color w:val="000000"/>
                <w:sz w:val="20"/>
              </w:rPr>
              <w:t xml:space="preserve">3.1 主要财务指标</w:t>
            </w:r>
          </w:p>
        </w:tc>
        <w:tc>
          <w:tcPr>
            <w:gridSpan w:val="2"/>
            <w:tcMar>
              <w:top w:w="0" w:type="dxa"/>
              <w:left w:w="0" w:type="dxa"/>
              <w:bottom w:w="0" w:type="dxa"/>
              <w:right w:w="0" w:type="dxa"/>
            </w:tcMar>
            <w:vAlign w:val="center"/>
          </w:tcPr>
          <w:p>
            <w:pPr>
              <w:ind/>
              <w:jc w:val="right"/>
              <w:spacing w:lineRule="auto" w:line="360" w:after="0" w:before="0"/>
            </w:pPr>
            <w:r>
              <w:rPr>
                <w:rFonts w:ascii="原版宋体" w:hAnsi="原版宋体" w:eastAsia="原版宋体" w:cs="原版宋体"/>
                <w:color w:val="000000"/>
                <w:sz w:val="20"/>
              </w:rPr>
              <w:t xml:space="preserve">（单位：元）</w:t>
            </w: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4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主要财务指标</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报告期（2021年07月01日-2021年09月30日）</w:t>
            </w:r>
          </w:p>
        </w:tc>
        <w:tc>
          <w:tcPr>
     </w:tcPr>
          <w:p>
            <w:pPr>
              <w:pStyle w:val="EMPTY_CELL_STYLE"/>
            </w:pPr>
          </w:p>
        </w:tc>
      </w:tr>
      <w:tr>
        <w:trPr>
          <w:trHeight w:hRule="exact" w:val="44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1.本期已实现收益</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120,797.95</w:t>
            </w:r>
          </w:p>
        </w:tc>
        <w:tc>
          <w:tcPr>
     </w:tcPr>
          <w:p>
            <w:pPr>
              <w:pStyle w:val="EMPTY_CELL_STYLE"/>
            </w:pPr>
          </w:p>
        </w:tc>
      </w:tr>
    </w:tbl>
    <w:tbl>
      <w:tblPr>
        <w:tblLayout w:type="fixed"/>
      </w:tblPr>
      <w:tblGrid>
        <w:gridCol w:w="1"/>
        <w:gridCol w:w="800"/>
        <w:gridCol w:w="2600"/>
        <w:gridCol w:w="600"/>
        <w:gridCol w:w="20"/>
        <w:gridCol w:w="3380"/>
        <w:gridCol w:w="220"/>
        <w:gridCol w:w="3080"/>
        <w:gridCol w:w="800"/>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40"/>
        </w:trPr>
        <w:tc>
          <w:tcPr>
     </w:tcPr>
          <w:p>
            <w:pPr>
              <w:pStyle w:val="EMPTY_CELL_STYLE"/>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2.本期利润</w:t>
            </w:r>
          </w:p>
        </w:tc>
        <w:tc>
          <w:tcPr>
            <w:gridSpan w:val="5"/>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68,348.00</w:t>
            </w:r>
          </w:p>
        </w:tc>
        <w:tc>
          <w:tcPr>
     </w:tcPr>
          <w:p>
            <w:pPr>
              <w:pStyle w:val="EMPTY_CELL_STYLE"/>
            </w:pPr>
          </w:p>
        </w:tc>
      </w:tr>
      <w:tr>
        <w:trPr>
          <w:trHeight w:hRule="exact" w:val="440"/>
        </w:trPr>
        <w:tc>
          <w:tcPr>
     </w:tcPr>
          <w:p>
            <w:pPr>
              <w:pStyle w:val="EMPTY_CELL_STYLE"/>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3.期末产品资产净值</w:t>
            </w:r>
          </w:p>
        </w:tc>
        <w:tc>
          <w:tcPr>
            <w:gridSpan w:val="5"/>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16,423,348.00</w:t>
            </w:r>
          </w:p>
        </w:tc>
        <w:tc>
          <w:tcPr>
     </w:tcPr>
          <w:p>
            <w:pPr>
              <w:pStyle w:val="EMPTY_CELL_STYLE"/>
            </w:pPr>
          </w:p>
        </w:tc>
      </w:tr>
      <w:tr>
        <w:trPr>
          <w:trHeight w:hRule="exact" w:val="440"/>
        </w:trPr>
        <w:tc>
          <w:tcPr>
     </w:tcPr>
          <w:p>
            <w:pPr>
              <w:pStyle w:val="EMPTY_CELL_STYLE"/>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4.期末产品份额净值</w:t>
            </w:r>
          </w:p>
        </w:tc>
        <w:tc>
          <w:tcPr>
            <w:gridSpan w:val="5"/>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1.004179</w:t>
            </w:r>
          </w:p>
        </w:tc>
        <w:tc>
          <w:tcPr>
     </w:tcPr>
          <w:p>
            <w:pPr>
              <w:pStyle w:val="EMPTY_CELL_STYLE"/>
            </w:pPr>
          </w:p>
        </w:tc>
      </w:tr>
      <w:tr>
        <w:trPr>
          <w:trHeight w:hRule="exact" w:val="440"/>
        </w:trPr>
        <w:tc>
          <w:tcPr>
     </w:tcPr>
          <w:p>
            <w:pPr>
              <w:pStyle w:val="EMPTY_CELL_STYLE"/>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5.期末产品份额累计净值</w:t>
            </w:r>
          </w:p>
        </w:tc>
        <w:tc>
          <w:tcPr>
            <w:gridSpan w:val="5"/>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1.004179</w:t>
            </w:r>
          </w:p>
        </w:tc>
        <w:tc>
          <w:tcPr>
     </w:tcPr>
          <w:p>
            <w:pPr>
              <w:pStyle w:val="EMPTY_CELL_STYLE"/>
            </w:pPr>
          </w:p>
        </w:tc>
      </w:tr>
      <w:tr>
        <w:trPr>
          <w:trHeight w:hRule="exact" w:val="440"/>
        </w:trPr>
        <w:tc>
          <w:tcPr>
     </w:tcPr>
          <w:p>
            <w:pPr>
              <w:pStyle w:val="EMPTY_CELL_STYLE"/>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6. 杠杆水平</w:t>
            </w:r>
          </w:p>
        </w:tc>
        <w:tc>
          <w:tcPr>
            <w:gridSpan w:val="5"/>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100.02%</w:t>
            </w:r>
          </w:p>
        </w:tc>
        <w:tc>
          <w:tcPr>
     </w:tcPr>
          <w:p>
            <w:pPr>
              <w:pStyle w:val="EMPTY_CELL_STYLE"/>
            </w:pPr>
          </w:p>
        </w:tc>
      </w:tr>
      <w:tr>
        <w:trPr>
          <w:trHeight w:hRule="exact" w:val="440"/>
        </w:trPr>
        <w:tc>
          <w:tcPr>
     </w:tcPr>
          <w:p>
            <w:pPr>
              <w:pStyle w:val="EMPTY_CELL_STYLE"/>
            </w:pPr>
          </w:p>
        </w:tc>
        <w:tc>
          <w:tcPr>
            <w:gridSpan w:val="7"/>
            <w:tcMar>
              <w:top w:w="0" w:type="dxa"/>
              <w:left w:w="0" w:type="dxa"/>
              <w:bottom w:w="0" w:type="dxa"/>
              <w:right w:w="0" w:type="dxa"/>
            </w:tcMar>
            <w:vAlign w:val="center"/>
          </w:tcPr>
          <w:p>
            <w:pPr>
              <w:ind/>
              <w:spacing w:lineRule="auto" w:line="360" w:after="0" w:before="0"/>
            </w:pPr>
            <w:r>
              <w:rPr>
                <w:rFonts w:ascii="原版宋体" w:hAnsi="原版宋体" w:eastAsia="原版宋体" w:cs="原版宋体"/>
                <w:color w:val="000000"/>
                <w:sz w:val="20"/>
              </w:rPr>
              <w:t xml:space="preserve">    注：所述产品业绩指标不包括持有人认购或交易产品的各项费用，计入费用后实际收益水平要低于所列数字。</w:t>
            </w:r>
          </w:p>
        </w:tc>
        <w:tc>
          <w:tcPr>
     </w:tcPr>
          <w:p>
            <w:pPr>
              <w:pStyle w:val="EMPTY_CELL_STYLE"/>
            </w:pPr>
          </w:p>
        </w:tc>
      </w:tr>
      <w:tr>
        <w:trPr>
          <w:trHeight w:hRule="exact" w:val="6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500"/>
        </w:trPr>
        <w:tc>
          <w:tcPr>
     </w:tcPr>
          <w:p>
            <w:pPr>
              <w:pStyle w:val="EMPTY_CELL_STYLE"/>
            </w:pPr>
          </w:p>
        </w:tc>
        <w:tc>
          <w:tcPr>
            <w:gridSpan w:val="7"/>
            <w:tcMar>
              <w:top w:w="0" w:type="dxa"/>
              <w:left w:w="0" w:type="dxa"/>
              <w:bottom w:w="0" w:type="dxa"/>
              <w:right w:w="0" w:type="dxa"/>
            </w:tcMar>
            <w:vAlign w:val="center"/>
          </w:tcPr>
          <w:p>
            <w:pPr>
              <w:ind/>
              <w:spacing w:lineRule="auto" w:line="360" w:after="0" w:before="0"/>
            </w:pPr>
            <w:r>
              <w:rPr>
                <w:rFonts w:ascii="原版宋体" w:hAnsi="原版宋体" w:eastAsia="原版宋体" w:cs="原版宋体"/>
                <w:color w:val="000000"/>
                <w:sz w:val="20"/>
                <w:b w:val="true"/>
              </w:rPr>
              <w:t xml:space="preserve">4  投资组合报告</w:t>
            </w:r>
          </w:p>
        </w:tc>
        <w:tc>
          <w:tcPr>
     </w:tcPr>
          <w:p>
            <w:pPr>
              <w:pStyle w:val="EMPTY_CELL_STYLE"/>
            </w:pPr>
          </w:p>
        </w:tc>
      </w:tr>
      <w:tr>
        <w:trPr>
          <w:trHeight w:hRule="exact" w:val="420"/>
        </w:trPr>
        <w:tc>
          <w:tcPr>
     </w:tcPr>
          <w:p>
            <w:pPr>
              <w:pStyle w:val="EMPTY_CELL_STYLE"/>
            </w:pPr>
          </w:p>
        </w:tc>
        <w:tc>
          <w:tcPr>
            <w:gridSpan w:val="7"/>
            <w:tcMar>
              <w:top w:w="0" w:type="dxa"/>
              <w:left w:w="0" w:type="dxa"/>
              <w:bottom w:w="0" w:type="dxa"/>
              <w:right w:w="0" w:type="dxa"/>
            </w:tcMar>
            <w:vAlign w:val="center"/>
          </w:tcPr>
          <w:p>
            <w:pPr>
              <w:ind/>
              <w:spacing w:lineRule="auto" w:line="360" w:after="0" w:before="0"/>
            </w:pPr>
            <w:r>
              <w:rPr>
                <w:rFonts w:ascii="原版宋体" w:hAnsi="原版宋体" w:eastAsia="原版宋体" w:cs="原版宋体"/>
                <w:color w:val="000000"/>
                <w:sz w:val="20"/>
              </w:rPr>
              <w:t xml:space="preserve">4.1 报告期末产品资产组合情况</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序号</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项目</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金额（元）</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占产品总资产的比例（%）</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1</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固定收益投资</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15,709,366.89</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95.63%</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其中：债券</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15,709,366.89</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95.63%</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      非标资产</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2</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权益投资</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其中：基金</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3</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金融衍生品投资</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4</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买入返售金融资产</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709,590.12</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4.32%</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其中：买断式回购</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5</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银行存款合计</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8,267.14</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0.05%</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6</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其他资产</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7</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合计</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16,427,224.15</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100.00%</w:t>
            </w:r>
          </w:p>
        </w:tc>
        <w:tc>
          <w:tcPr>
     </w:tcPr>
          <w:p>
            <w:pPr>
              <w:pStyle w:val="EMPTY_CELL_STYLE"/>
            </w:pPr>
          </w:p>
        </w:tc>
      </w:tr>
      <w:tr>
        <w:trPr>
          <w:trHeight w:hRule="exact" w:val="8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gridSpan w:val="7"/>
            <w:tcMar>
              <w:top w:w="0" w:type="dxa"/>
              <w:left w:w="0" w:type="dxa"/>
              <w:bottom w:w="0" w:type="dxa"/>
              <w:right w:w="0" w:type="dxa"/>
            </w:tcMar>
            <w:vAlign w:val="center"/>
          </w:tcPr>
          <w:p>
            <w:pPr>
              <w:ind/>
              <w:spacing w:lineRule="auto" w:line="360" w:after="0" w:before="0"/>
            </w:pPr>
            <w:r>
              <w:rPr>
                <w:rFonts w:ascii="原版宋体" w:hAnsi="原版宋体" w:eastAsia="原版宋体" w:cs="原版宋体"/>
                <w:color w:val="000000"/>
                <w:sz w:val="20"/>
              </w:rPr>
              <w:t xml:space="preserve">4.2 报告期末按债券品种分类的债券投资组合</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序号</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债券品种</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金额（元）</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占产品资产净值比例（％）</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1</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国家债券</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2</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央行票据</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3</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金融债券</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7,833,089.64</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47.69%</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其中：政策性金融债</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4</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企业债券</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7,876,277.25</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47.96%</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5</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企业短期融资券</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6</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可转债</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7</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其他</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8</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合计</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15,709,366.89</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95.65%</w:t>
            </w:r>
          </w:p>
        </w:tc>
        <w:tc>
          <w:tcPr>
     </w:tcPr>
          <w:p>
            <w:pPr>
              <w:pStyle w:val="EMPTY_CELL_STYLE"/>
            </w:pPr>
          </w:p>
        </w:tc>
      </w:tr>
    </w:tbl>
    <w:tbl>
      <w:tblPr>
        <w:tblLayout w:type="fixed"/>
      </w:tblPr>
      <w:tblGrid>
        <w:gridCol w:w="1"/>
        <w:gridCol w:w="800"/>
        <w:gridCol w:w="1000"/>
        <w:gridCol w:w="1000"/>
        <w:gridCol w:w="400"/>
        <w:gridCol w:w="1800"/>
        <w:gridCol w:w="1600"/>
        <w:gridCol w:w="200"/>
        <w:gridCol w:w="200"/>
        <w:gridCol w:w="1800"/>
        <w:gridCol w:w="200"/>
        <w:gridCol w:w="1700"/>
        <w:gridCol w:w="8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gridSpan w:val="11"/>
            <w:tcMar>
              <w:top w:w="0" w:type="dxa"/>
              <w:left w:w="0" w:type="dxa"/>
              <w:bottom w:w="0" w:type="dxa"/>
              <w:right w:w="0" w:type="dxa"/>
            </w:tcMar>
            <w:vAlign w:val="center"/>
          </w:tcPr>
          <w:p>
            <w:pPr>
              <w:ind/>
              <w:spacing w:lineRule="auto" w:line="360" w:after="0" w:before="0"/>
            </w:pPr>
            <w:r>
              <w:rPr>
                <w:rFonts w:ascii="原版宋体" w:hAnsi="原版宋体" w:eastAsia="原版宋体" w:cs="原版宋体"/>
                <w:color w:val="000000"/>
                <w:sz w:val="20"/>
              </w:rPr>
              <w:t xml:space="preserve">4.3 报告期末按市值占产品资产净值比例大小排名的前十名资产投资明细</w:t>
            </w:r>
          </w:p>
        </w:tc>
        <w:tc>
          <w:tcPr>
     </w:tcPr>
          <w:p>
            <w:pPr>
              <w:pStyle w:val="EMPTY_CELL_STYLE"/>
            </w:pPr>
          </w:p>
        </w:tc>
      </w:tr>
      <w:tr>
        <w:trPr>
          <w:trHeight w:hRule="exact" w:val="60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序号</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资产代码</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资产名称</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数量</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市值(元)</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center"/>
            </w:pPr>
            <w:r>
              <w:rPr>
                <w:rFonts w:ascii="原版宋体" w:hAnsi="原版宋体" w:eastAsia="原版宋体" w:cs="原版宋体"/>
                <w:color w:val="000000"/>
                <w:sz w:val="20"/>
                <w:b w:val="true"/>
              </w:rPr>
              <w:t xml:space="preserve">占产品资产净值比例（％）</w:t>
            </w:r>
          </w:p>
        </w:tc>
        <w:tc>
          <w:tcPr>
     </w:tcPr>
          <w:p>
            <w:pPr>
              <w:pStyle w:val="EMPTY_CELL_STYLE"/>
            </w:pPr>
          </w:p>
        </w:tc>
      </w:tr>
      <w:tr>
        <w:trPr>
          <w:trHeight w:hRule="exact" w:val="60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pPr>
              <w:ind/>
            </w:pPr>
            <w:r>
              <w:rPr>
                <w:rFonts w:ascii="原版宋体" w:hAnsi="原版宋体" w:eastAsia="原版宋体" w:cs="原版宋体"/>
                <w:color w:val="000000"/>
                <w:sz w:val="20"/>
              </w:rPr>
              <w:t xml:space="preserve"> 1</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SS188129        </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21张公02</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1,600,000.00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1,637,635.95</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9.97%</w:t>
            </w:r>
          </w:p>
        </w:tc>
        <w:tc>
          <w:tcPr>
     </w:tcPr>
          <w:p>
            <w:pPr>
              <w:pStyle w:val="EMPTY_CELL_STYLE"/>
            </w:pPr>
          </w:p>
        </w:tc>
      </w:tr>
      <w:tr>
        <w:trPr>
          <w:trHeight w:hRule="exact" w:val="60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pPr>
              <w:ind/>
            </w:pPr>
            <w:r>
              <w:rPr>
                <w:rFonts w:ascii="原版宋体" w:hAnsi="原版宋体" w:eastAsia="原版宋体" w:cs="原版宋体"/>
                <w:color w:val="000000"/>
                <w:sz w:val="20"/>
              </w:rPr>
              <w:t xml:space="preserve"> 2</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1921006         </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19江南农商二级</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1,550,000.00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1,623,278.82</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9.88%</w:t>
            </w:r>
          </w:p>
        </w:tc>
        <w:tc>
          <w:tcPr>
     </w:tcPr>
          <w:p>
            <w:pPr>
              <w:pStyle w:val="EMPTY_CELL_STYLE"/>
            </w:pPr>
          </w:p>
        </w:tc>
      </w:tr>
      <w:tr>
        <w:trPr>
          <w:trHeight w:hRule="exact" w:val="60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pPr>
              <w:ind/>
            </w:pPr>
            <w:r>
              <w:rPr>
                <w:rFonts w:ascii="原版宋体" w:hAnsi="原版宋体" w:eastAsia="原版宋体" w:cs="原版宋体"/>
                <w:color w:val="000000"/>
                <w:sz w:val="20"/>
              </w:rPr>
              <w:t xml:space="preserve"> 3</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032100913       </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21吴中城投PPN004</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1,600,000.00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1,600,394.61</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9.74%</w:t>
            </w:r>
          </w:p>
        </w:tc>
        <w:tc>
          <w:tcPr>
     </w:tcPr>
          <w:p>
            <w:pPr>
              <w:pStyle w:val="EMPTY_CELL_STYLE"/>
            </w:pPr>
          </w:p>
        </w:tc>
      </w:tr>
      <w:tr>
        <w:trPr>
          <w:trHeight w:hRule="exact" w:val="60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pPr>
              <w:ind/>
            </w:pPr>
            <w:r>
              <w:rPr>
                <w:rFonts w:ascii="原版宋体" w:hAnsi="原版宋体" w:eastAsia="原版宋体" w:cs="原版宋体"/>
                <w:color w:val="000000"/>
                <w:sz w:val="20"/>
              </w:rPr>
              <w:t xml:space="preserve"> 4</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SS175856        </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21中金G1</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1,550,000.00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1,580,253.45</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9.62%</w:t>
            </w:r>
          </w:p>
        </w:tc>
        <w:tc>
          <w:tcPr>
     </w:tcPr>
          <w:p>
            <w:pPr>
              <w:pStyle w:val="EMPTY_CELL_STYLE"/>
            </w:pPr>
          </w:p>
        </w:tc>
      </w:tr>
      <w:tr>
        <w:trPr>
          <w:trHeight w:hRule="exact" w:val="60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pPr>
              <w:ind/>
            </w:pPr>
            <w:r>
              <w:rPr>
                <w:rFonts w:ascii="原版宋体" w:hAnsi="原版宋体" w:eastAsia="原版宋体" w:cs="原版宋体"/>
                <w:color w:val="000000"/>
                <w:sz w:val="20"/>
              </w:rPr>
              <w:t xml:space="preserve"> 5</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032000690       </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20晋江建投PPN003</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1,550,000.00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1,574,352.18</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9.59%</w:t>
            </w:r>
          </w:p>
        </w:tc>
        <w:tc>
          <w:tcPr>
     </w:tcPr>
          <w:p>
            <w:pPr>
              <w:pStyle w:val="EMPTY_CELL_STYLE"/>
            </w:pPr>
          </w:p>
        </w:tc>
      </w:tr>
      <w:tr>
        <w:trPr>
          <w:trHeight w:hRule="exact" w:val="60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pPr>
              <w:ind/>
            </w:pPr>
            <w:r>
              <w:rPr>
                <w:rFonts w:ascii="原版宋体" w:hAnsi="原版宋体" w:eastAsia="原版宋体" w:cs="原版宋体"/>
                <w:color w:val="000000"/>
                <w:sz w:val="20"/>
              </w:rPr>
              <w:t xml:space="preserve"> 6</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1921021         </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19重庆农商二级</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1,500,000.00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1,559,006.98</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9.49%</w:t>
            </w:r>
          </w:p>
        </w:tc>
        <w:tc>
          <w:tcPr>
     </w:tcPr>
          <w:p>
            <w:pPr>
              <w:pStyle w:val="EMPTY_CELL_STYLE"/>
            </w:pPr>
          </w:p>
        </w:tc>
      </w:tr>
      <w:tr>
        <w:trPr>
          <w:trHeight w:hRule="exact" w:val="60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pPr>
              <w:ind/>
            </w:pPr>
            <w:r>
              <w:rPr>
                <w:rFonts w:ascii="原版宋体" w:hAnsi="原版宋体" w:eastAsia="原版宋体" w:cs="原版宋体"/>
                <w:color w:val="000000"/>
                <w:sz w:val="20"/>
              </w:rPr>
              <w:t xml:space="preserve"> 7</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101800783       </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18北控水务MTN002B</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1,500,000.00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1,554,061.50</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9.46%</w:t>
            </w:r>
          </w:p>
        </w:tc>
        <w:tc>
          <w:tcPr>
     </w:tcPr>
          <w:p>
            <w:pPr>
              <w:pStyle w:val="EMPTY_CELL_STYLE"/>
            </w:pPr>
          </w:p>
        </w:tc>
      </w:tr>
      <w:tr>
        <w:trPr>
          <w:trHeight w:hRule="exact" w:val="60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pPr>
              <w:ind/>
            </w:pPr>
            <w:r>
              <w:rPr>
                <w:rFonts w:ascii="原版宋体" w:hAnsi="原版宋体" w:eastAsia="原版宋体" w:cs="原版宋体"/>
                <w:color w:val="000000"/>
                <w:sz w:val="20"/>
              </w:rPr>
              <w:t xml:space="preserve"> 8</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1720028         </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17广州银行二级</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1,500,000.00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1,542,077.10</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9.39%</w:t>
            </w:r>
          </w:p>
        </w:tc>
        <w:tc>
          <w:tcPr>
     </w:tcPr>
          <w:p>
            <w:pPr>
              <w:pStyle w:val="EMPTY_CELL_STYLE"/>
            </w:pPr>
          </w:p>
        </w:tc>
      </w:tr>
      <w:tr>
        <w:trPr>
          <w:trHeight w:hRule="exact" w:val="60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pPr>
              <w:ind/>
            </w:pPr>
            <w:r>
              <w:rPr>
                <w:rFonts w:ascii="原版宋体" w:hAnsi="原版宋体" w:eastAsia="原版宋体" w:cs="原版宋体"/>
                <w:color w:val="000000"/>
                <w:sz w:val="20"/>
              </w:rPr>
              <w:t xml:space="preserve"> 9</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SS188134        </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21华泰G5</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1,500,000.00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1,528,473.29</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9.31%</w:t>
            </w:r>
          </w:p>
        </w:tc>
        <w:tc>
          <w:tcPr>
     </w:tcPr>
          <w:p>
            <w:pPr>
              <w:pStyle w:val="EMPTY_CELL_STYLE"/>
            </w:pPr>
          </w:p>
        </w:tc>
      </w:tr>
      <w:tr>
        <w:trPr>
          <w:trHeight w:hRule="exact" w:val="60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pPr>
              <w:ind/>
            </w:pPr>
            <w:r>
              <w:rPr>
                <w:rFonts w:ascii="原版宋体" w:hAnsi="原版宋体" w:eastAsia="原版宋体" w:cs="原版宋体"/>
                <w:color w:val="000000"/>
                <w:sz w:val="20"/>
              </w:rPr>
              <w:t xml:space="preserve"> 10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SS188443        </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21诚通11</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1,500,000.00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1,509,833.01</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9.19%</w:t>
            </w:r>
          </w:p>
        </w:tc>
        <w:tc>
          <w:tcPr>
     </w:tcPr>
          <w:p>
            <w:pPr>
              <w:pStyle w:val="EMPTY_CELL_STYLE"/>
            </w:pPr>
          </w:p>
        </w:tc>
      </w:tr>
      <w:tr>
        <w:trPr>
          <w:trHeight w:hRule="exact" w:val="7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1"/>
            <w:tcMar>
              <w:top w:w="0" w:type="dxa"/>
              <w:left w:w="0" w:type="dxa"/>
              <w:bottom w:w="0" w:type="dxa"/>
              <w:right w:w="0" w:type="dxa"/>
            </w:tcMar>
            <w:vAlign w:val="center"/>
          </w:tcPr>
          <w:p>
            <w:pPr>
              <w:ind/>
              <w:spacing w:lineRule="auto" w:line="360" w:after="0" w:before="0"/>
            </w:pPr>
            <w:r>
              <w:rPr>
                <w:rFonts w:ascii="原版宋体" w:hAnsi="原版宋体" w:eastAsia="原版宋体" w:cs="原版宋体"/>
                <w:color w:val="000000"/>
                <w:sz w:val="20"/>
              </w:rPr>
              <w:t xml:space="preserve">4.4 报告期末投资组合流动性风险分析</w:t>
            </w:r>
          </w:p>
        </w:tc>
        <w:tc>
          <w:tcPr>
     </w:tcPr>
          <w:p>
            <w:pPr>
              <w:pStyle w:val="EMPTY_CELL_STYLE"/>
            </w:pPr>
          </w:p>
        </w:tc>
      </w:tr>
      <w:tr>
        <w:trPr>
          <w:trHeight w:hRule="exact" w:val="400"/>
        </w:trPr>
        <w:tc>
          <w:tcPr>
     </w:tcPr>
          <w:p>
            <w:pPr>
              <w:pStyle w:val="EMPTY_CELL_STYLE"/>
            </w:pPr>
          </w:p>
        </w:tc>
        <w:tc>
          <w:tcPr>
            <w:gridSpan w:val="4"/>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流动性资产市值（元）</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产品资产净值（元）</w:t>
            </w:r>
          </w:p>
        </w:tc>
        <w:tc>
          <w:tcPr>
            <w:gridSpan w:val="5"/>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流动性资产占比（%）</w:t>
            </w:r>
          </w:p>
        </w:tc>
        <w:tc>
          <w:tcPr>
     </w:tcPr>
          <w:p>
            <w:pPr>
              <w:pStyle w:val="EMPTY_CELL_STYLE"/>
            </w:pPr>
          </w:p>
        </w:tc>
      </w:tr>
      <w:tr>
        <w:trPr>
          <w:trHeight w:hRule="exact" w:val="400"/>
        </w:trPr>
        <w:tc>
          <w:tcPr>
     </w:tcPr>
          <w:p>
            <w:pPr>
              <w:pStyle w:val="EMPTY_CELL_STYLE"/>
            </w:pPr>
          </w:p>
        </w:tc>
        <w:tc>
          <w:tcPr>
            <w:gridSpan w:val="4"/>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center"/>
            </w:pPr>
            <w:r>
              <w:rPr>
                <w:rFonts w:ascii="原版宋体" w:hAnsi="原版宋体" w:eastAsia="原版宋体" w:cs="原版宋体"/>
                <w:color w:val="000000"/>
                <w:sz w:val="20"/>
              </w:rPr>
              <w:t xml:space="preserve">8,267.14</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center"/>
            </w:pPr>
            <w:r>
              <w:rPr>
                <w:rFonts w:ascii="原版宋体" w:hAnsi="原版宋体" w:eastAsia="原版宋体" w:cs="原版宋体"/>
                <w:color w:val="000000"/>
                <w:sz w:val="20"/>
              </w:rPr>
              <w:t xml:space="preserve">16,423,348.00</w:t>
            </w:r>
          </w:p>
        </w:tc>
        <w:tc>
          <w:tcPr>
            <w:gridSpan w:val="5"/>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center"/>
            </w:pPr>
            <w:r>
              <w:rPr>
                <w:rFonts w:ascii="原版宋体" w:hAnsi="原版宋体" w:eastAsia="原版宋体" w:cs="原版宋体"/>
                <w:color w:val="000000"/>
                <w:sz w:val="20"/>
              </w:rPr>
              <w:t xml:space="preserve">0.05%</w:t>
            </w:r>
          </w:p>
        </w:tc>
        <w:tc>
          <w:tcPr>
     </w:tcPr>
          <w:p>
            <w:pPr>
              <w:pStyle w:val="EMPTY_CELL_STYLE"/>
            </w:pPr>
          </w:p>
        </w:tc>
      </w:tr>
      <w:tr>
        <w:trPr>
          <w:trHeight w:hRule="exact" w:val="10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1"/>
            <w:tcMar>
              <w:top w:w="0" w:type="dxa"/>
              <w:left w:w="0" w:type="dxa"/>
              <w:bottom w:w="0" w:type="dxa"/>
              <w:right w:w="0" w:type="dxa"/>
            </w:tcMar>
            <w:vAlign w:val="center"/>
          </w:tcPr>
          <w:p>
            <w:pPr>
              <w:ind/>
              <w:spacing w:lineRule="auto" w:line="360" w:after="0" w:before="0"/>
            </w:pPr>
            <w:r>
              <w:rPr>
                <w:rFonts w:ascii="原版宋体" w:hAnsi="原版宋体" w:eastAsia="原版宋体" w:cs="原版宋体"/>
                <w:color w:val="000000"/>
                <w:sz w:val="20"/>
              </w:rPr>
              <w:t xml:space="preserve">5 投资账户信息</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center"/>
            </w:pPr>
            <w:r>
              <w:rPr>
                <w:rFonts w:ascii="原版宋体" w:hAnsi="原版宋体" w:eastAsia="原版宋体" w:cs="原版宋体"/>
                <w:color w:val="000000"/>
                <w:sz w:val="20"/>
                <w:b w:val="true"/>
              </w:rPr>
              <w:t xml:space="preserve">序号</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账户类型</w:t>
            </w:r>
          </w:p>
        </w:tc>
        <w:tc>
          <w:tcPr>
            <w:gridSpan w:val="5"/>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账户名称</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账号</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开户单位</w:t>
            </w:r>
          </w:p>
        </w:tc>
        <w:tc>
          <w:tcPr>
     </w:tcPr>
          <w:p>
            <w:pPr>
              <w:pStyle w:val="EMPTY_CELL_STYLE"/>
            </w:pPr>
          </w:p>
        </w:tc>
      </w:tr>
      <w:tr>
        <w:trPr>
          <w:trHeight w:hRule="exact" w:val="80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center"/>
            </w:pPr>
            <w:r>
              <w:rPr>
                <w:rFonts w:ascii="原版宋体" w:hAnsi="原版宋体" w:eastAsia="原版宋体" w:cs="原版宋体"/>
                <w:color w:val="000000"/>
                <w:sz w:val="20"/>
              </w:rPr>
              <w:t xml:space="preserve">1</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center"/>
            </w:pPr>
            <w:r>
              <w:rPr>
                <w:rFonts w:ascii="原版宋体" w:hAnsi="原版宋体" w:eastAsia="原版宋体" w:cs="原版宋体"/>
                <w:color w:val="000000"/>
                <w:sz w:val="20"/>
              </w:rPr>
              <w:t xml:space="preserve">托管户</w:t>
            </w:r>
          </w:p>
        </w:tc>
        <w:tc>
          <w:tcPr>
            <w:gridSpan w:val="5"/>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center"/>
            </w:pPr>
            <w:r>
              <w:rPr>
                <w:rFonts w:ascii="原版宋体" w:hAnsi="原版宋体" w:eastAsia="原版宋体" w:cs="原版宋体"/>
                <w:color w:val="000000"/>
                <w:sz w:val="20"/>
              </w:rPr>
              <w:t xml:space="preserve">南京银行南通分行海安农商银行金蝶封闭式净值型理财产品52期</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center"/>
            </w:pPr>
            <w:r>
              <w:rPr>
                <w:rFonts w:ascii="原版宋体" w:hAnsi="原版宋体" w:eastAsia="原版宋体" w:cs="原版宋体"/>
                <w:color w:val="000000"/>
                <w:sz w:val="20"/>
              </w:rPr>
              <w:t xml:space="preserve">0601020000000173</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center"/>
            </w:pPr>
            <w:r>
              <w:rPr>
                <w:rFonts w:ascii="原版宋体" w:hAnsi="原版宋体" w:eastAsia="原版宋体" w:cs="原版宋体"/>
                <w:color w:val="000000"/>
                <w:sz w:val="20"/>
              </w:rPr>
              <w:t xml:space="preserve">南京银行股份有限公司南通分行</w:t>
            </w:r>
          </w:p>
        </w:tc>
        <w:tc>
          <w:tcPr>
     </w:tcPr>
          <w:p>
            <w:pPr>
              <w:pStyle w:val="EMPTY_CELL_STYLE"/>
            </w:pPr>
          </w:p>
        </w:tc>
      </w:tr>
      <w:tr>
        <w:trPr>
          <w:trHeight w:hRule="exact" w:val="9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1"/>
            <w:tcMar>
              <w:top w:w="0" w:type="dxa"/>
              <w:left w:w="0" w:type="dxa"/>
              <w:bottom w:w="0" w:type="dxa"/>
              <w:right w:w="0" w:type="dxa"/>
            </w:tcMar>
            <w:vAlign w:val="center"/>
          </w:tcPr>
          <w:p>
            <w:pPr>
              <w:ind/>
              <w:spacing w:lineRule="auto" w:line="360" w:after="0" w:before="0"/>
            </w:pPr>
            <w:r>
              <w:rPr>
                <w:rFonts w:ascii="原版宋体" w:hAnsi="原版宋体" w:eastAsia="原版宋体" w:cs="原版宋体"/>
                <w:color w:val="000000"/>
                <w:sz w:val="20"/>
              </w:rPr>
              <w:t xml:space="preserve">6 关联交易情况</w:t>
            </w:r>
          </w:p>
        </w:tc>
        <w:tc>
          <w:tcPr>
     </w:tcPr>
          <w:p>
            <w:pPr>
              <w:pStyle w:val="EMPTY_CELL_STYLE"/>
            </w:pPr>
          </w:p>
        </w:tc>
      </w:tr>
      <w:tr>
        <w:trPr>
          <w:trHeight w:hRule="exact" w:val="1400"/>
        </w:trPr>
        <w:tc>
          <w:tcPr>
     </w:tcPr>
          <w:p>
            <w:pPr>
              <w:pStyle w:val="EMPTY_CELL_STYLE"/>
            </w:pPr>
          </w:p>
        </w:tc>
        <w:tc>
          <w:tcPr>
            <w:gridSpan w:val="11"/>
            <w:tcMar>
              <w:top w:w="0" w:type="dxa"/>
              <w:left w:w="80" w:type="dxa"/>
              <w:bottom w:w="0" w:type="dxa"/>
              <w:right w:w="0" w:type="dxa"/>
            </w:tcMar>
            <w:vAlign w:val="top"/>
          </w:tcPr>
          <w:p>
            <w:pPr>
              <w:ind/>
              <w:jc w:val="left"/>
            </w:pPr>
            <w:r>
              <w:rPr>
                <w:rFonts w:ascii="原版宋体" w:hAnsi="原版宋体" w:eastAsia="原版宋体" w:cs="原版宋体"/>
                <w:color w:val="000000"/>
                <w:sz w:val="20"/>
              </w:rPr>
              <w:t xml:space="preserve">无</w:t>
            </w:r>
          </w:p>
        </w:tc>
        <w:tc>
          <w:tcPr>
     </w:tcPr>
          <w:p>
            <w:pPr>
              <w:pStyle w:val="EMPTY_CELL_STYLE"/>
            </w:pPr>
          </w:p>
        </w:tc>
      </w:tr>
    </w:tbl>
    <w:tbl>
      <w:tblPr>
        <w:tblLayout w:type="fixed"/>
      </w:tblPr>
      <w:tblGrid>
        <w:gridCol w:w="1"/>
        <w:gridCol w:w="10700"/>
        <w:gridCol w:w="8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200"/>
        </w:trPr>
        <w:tc>
          <w:tcPr>
     </w:tcPr>
          <w:p>
            <w:pPr>
              <w:pStyle w:val="EMPTY_CELL_STYLE"/>
            </w:pPr>
          </w:p>
        </w:tc>
        <w:tc>
          <w:tcPr>
            <w:tcMar>
              <w:top w:w="0" w:type="dxa"/>
              <w:left w:w="0" w:type="dxa"/>
              <w:bottom w:w="0" w:type="dxa"/>
              <w:right w:w="0" w:type="dxa"/>
            </w:tcMar>
            <w:vAlign w:val="center"/>
          </w:tcPr>
          <w:p>
            <w:pPr>
              <w:ind/>
              <w:spacing w:lineRule="auto" w:line="360" w:after="0" w:before="0"/>
            </w:pPr>
            <w:r>
              <w:rPr>
                <w:rFonts w:ascii="原版宋体" w:hAnsi="原版宋体" w:eastAsia="原版宋体" w:cs="原版宋体"/>
                <w:color w:val="000000"/>
                <w:sz w:val="20"/>
              </w:rPr>
              <w:t xml:space="preserve">    报告期内，产品管理人通过合理安排资产配置结构，保持一定比例的高流动性资产，控制资产久期、杠杆融资比例，管控产品流动性风险。持仓中利率债、同业存单及高等级信用债占比较高，对于关键时点的规模变动和资金面波动都有充足的准备，且融资渠道畅通多元，风险总体可控。</w:t>
            </w:r>
          </w:p>
        </w:tc>
        <w:tc>
          <w:tcPr>
     </w:tcPr>
          <w:p>
            <w:pPr>
              <w:pStyle w:val="EMPTY_CELL_STYLE"/>
            </w:pPr>
          </w:p>
        </w:tc>
      </w:tr>
      <w:tr>
        <w:trPr>
          <w:trHeight w:hRule="exact" w:val="880"/>
        </w:trPr>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Mar>
              <w:top w:w="0" w:type="dxa"/>
              <w:left w:w="0" w:type="dxa"/>
              <w:bottom w:w="0" w:type="dxa"/>
              <w:right w:w="0" w:type="dxa"/>
            </w:tcMar>
            <w:vAlign w:val="top"/>
          </w:tcPr>
          <w:p>
            <w:pPr>
              <w:ind/>
              <w:spacing w:lineRule="auto" w:line="360" w:after="0" w:before="0"/>
            </w:pPr>
            <w:r>
              <w:rPr>
                <w:rFonts w:ascii="原版宋体" w:hAnsi="原版宋体" w:eastAsia="原版宋体" w:cs="原版宋体"/>
                <w:color w:val="000000"/>
                <w:sz w:val="20"/>
              </w:rPr>
              <w:t xml:space="preserve">    特此公告。</w:t>
            </w:r>
          </w:p>
        </w:tc>
        <w:tc>
          <w:tcPr>
     </w:tcPr>
          <w:p>
            <w:pPr>
              <w:pStyle w:val="EMPTY_CELL_STYLE"/>
            </w:pPr>
          </w:p>
        </w:tc>
      </w:tr>
      <w:tr>
        <w:trPr>
          <w:trHeight w:hRule="exact" w:val="400"/>
        </w:trPr>
        <w:tc>
          <w:tcPr>
     </w:tcPr>
          <w:p>
            <w:pPr>
              <w:pStyle w:val="EMPTY_CELL_STYLE"/>
            </w:pPr>
          </w:p>
        </w:tc>
        <w:tc>
          <w:tcPr>
            <w:tcMar>
              <w:top w:w="0" w:type="dxa"/>
              <w:left w:w="0" w:type="dxa"/>
              <w:bottom w:w="0" w:type="dxa"/>
              <w:right w:w="0" w:type="dxa"/>
            </w:tcMar>
            <w:vAlign w:val="top"/>
          </w:tcPr>
          <w:p>
            <w:pPr>
              <w:ind/>
              <w:jc w:val="right"/>
              <w:spacing w:lineRule="auto" w:line="360" w:after="0" w:before="0"/>
            </w:pPr>
            <w:r>
              <w:rPr>
                <w:rFonts w:ascii="原版宋体" w:hAnsi="原版宋体" w:eastAsia="原版宋体" w:cs="原版宋体"/>
                <w:color w:val="000000"/>
                <w:sz w:val="20"/>
              </w:rPr>
              <w:t xml:space="preserve">江苏海安农村商业银行股份有限公司</w:t>
            </w:r>
          </w:p>
        </w:tc>
        <w:tc>
          <w:tcPr>
     </w:tcPr>
          <w:p>
            <w:pPr>
              <w:pStyle w:val="EMPTY_CELL_STYLE"/>
            </w:pPr>
          </w:p>
        </w:tc>
      </w:tr>
      <w:tr>
        <w:trPr>
          <w:trHeight w:hRule="exact" w:val="400"/>
        </w:trPr>
        <w:tc>
          <w:tcPr>
     </w:tcPr>
          <w:p>
            <w:pPr>
              <w:pStyle w:val="EMPTY_CELL_STYLE"/>
            </w:pPr>
          </w:p>
        </w:tc>
        <w:tc>
          <w:tcPr>
            <w:tcMar>
              <w:top w:w="0" w:type="dxa"/>
              <w:left w:w="0" w:type="dxa"/>
              <w:bottom w:w="0" w:type="dxa"/>
              <w:right w:w="0" w:type="dxa"/>
            </w:tcMar>
            <w:vAlign w:val="top"/>
          </w:tcPr>
          <w:p>
            <w:pPr>
              <w:ind/>
              <w:jc w:val="right"/>
              <w:spacing w:lineRule="auto" w:line="360" w:after="0" w:before="0"/>
            </w:pPr>
            <w:r>
              <w:rPr>
                <w:rFonts w:ascii="原版宋体" w:hAnsi="原版宋体" w:eastAsia="原版宋体" w:cs="原版宋体"/>
                <w:color w:val="000000"/>
                <w:sz w:val="20"/>
              </w:rPr>
              <w:t xml:space="preserve">2021年09月30日</w:t>
            </w:r>
          </w:p>
        </w:tc>
        <w:tc>
          <w:tcPr>
     </w:tcPr>
          <w:p>
            <w:pPr>
              <w:pStyle w:val="EMPTY_CELL_STYLE"/>
            </w:pPr>
          </w:p>
        </w:tc>
      </w:tr>
    </w:tbl>
    <w:sectPr>
      <w:pgSz w:w="13900" w:h="16840" w:orient="portrait" w:code="2537"/>
      <w:pgMar w:top="800" w:right="1200" w:bottom="440" w:left="120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6.4.3</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