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400"/>
        <w:gridCol w:w="200"/>
        <w:gridCol w:w="7100"/>
        <w:gridCol w:w="80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800"/>
        </w:trPr>
        <w:tc>
          <w:tcPr>
     </w:tcPr>
          <w:p>
            <w:pPr>
              <w:pStyle w:val="EMPTY_CELL_STYLE"/>
            </w:pPr>
          </w:p>
        </w:tc>
        <w:tc>
          <w:tcPr>
            <w:gridSpan w:val="3"/>
            <w:tcMar>
              <w:top w:w="0" w:type="dxa"/>
              <w:left w:w="0" w:type="dxa"/>
              <w:bottom w:w="0" w:type="dxa"/>
              <w:right w:w="0" w:type="dxa"/>
            </w:tcMar>
            <w:vAlign w:val="center"/>
          </w:tcPr>
          <w:p>
            <w:pPr>
              <w:ind/>
              <w:jc w:val="center"/>
              <w:spacing w:lineRule="auto" w:line="240" w:after="0" w:before="0"/>
            </w:pPr>
            <w:r>
              <w:rPr>
                <w:rFonts w:ascii="原版宋体" w:hAnsi="原版宋体" w:eastAsia="原版宋体" w:cs="原版宋体"/>
                <w:color w:val="000000"/>
                <w:sz w:val="40"/>
                <w:b w:val="true"/>
              </w:rPr>
              <w:t xml:space="preserve">“金蝶封闭式净值型51期”季度报告</w:t>
            </w: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产品管理人：江苏海安农村商业银行股份有限公司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产品托管人：南京银行股份有限公司</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发布时间：2021年09月30日</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b w:val="true"/>
              </w:rPr>
              <w:t xml:space="preserve">1  重要提示</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产品的过往业绩并不代表其未来表现。投资有风险，投资者在作出投资决策前应仔细阅读本产品说明书。</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本报告中财务资料未经审计。</w:t>
            </w:r>
          </w:p>
        </w:tc>
        <w:tc>
          <w:tcPr>
     </w:tcPr>
          <w:p>
            <w:pPr>
              <w:pStyle w:val="EMPTY_CELL_STYLE"/>
            </w:pPr>
          </w:p>
        </w:tc>
      </w:tr>
      <w:tr>
        <w:trPr>
          <w:trHeight w:hRule="exact" w:val="400"/>
        </w:trPr>
        <w:tc>
          <w:tcPr>
     </w:tcPr>
          <w:p>
            <w:pPr>
              <w:pStyle w:val="EMPTY_CELL_STYLE"/>
            </w:pPr>
          </w:p>
        </w:tc>
        <w:tc>
          <w:tcPr>
            <w:gridSpan w:val="3"/>
            <w:tcMar>
              <w:top w:w="0" w:type="dxa"/>
              <w:left w:w="0" w:type="dxa"/>
              <w:bottom w:w="0" w:type="dxa"/>
              <w:right w:w="0" w:type="dxa"/>
            </w:tcMar>
            <w:vAlign w:val="top"/>
          </w:tcPr>
          <w:p>
            <w:pPr>
              <w:ind/>
            </w:pPr>
            <w:r>
              <w:rPr>
                <w:rFonts w:ascii="原版宋体" w:hAnsi="原版宋体" w:eastAsia="原版宋体" w:cs="原版宋体"/>
                <w:color w:val="000000"/>
                <w:sz w:val="20"/>
              </w:rPr>
              <w:t xml:space="preserve">    本报告期自2021年07月01日起至09月30日止。</w:t>
            </w: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2  产品概况</w:t>
            </w:r>
          </w:p>
        </w:tc>
        <w:tc>
          <w:tcPr>
     </w:tcPr>
          <w:p>
            <w:pPr>
              <w:pStyle w:val="EMPTY_CELL_STYLE"/>
            </w:pPr>
          </w:p>
        </w:tc>
      </w:tr>
      <w:tr>
        <w:trPr>
          <w:trHeight w:hRule="exact" w:val="8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产品名称</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金蝶封闭式净值型51期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JDFB20210623</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全国银行业理财信息登记系统编码</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C1152521000081</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产品运作方式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封闭式净值型</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产品类型</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固定收益类</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募集方式</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公募</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报告期末产品份额总额</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8,311,000.00</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业绩比较基准</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3.7800%-3.7800%</w:t>
            </w:r>
          </w:p>
        </w:tc>
        <w:tc>
          <w:tcPr>
     </w:tcPr>
          <w:p>
            <w:pPr>
              <w:pStyle w:val="EMPTY_CELL_STYLE"/>
            </w:pPr>
          </w:p>
        </w:tc>
      </w:tr>
      <w:tr>
        <w:trPr>
          <w:trHeight w:hRule="exact" w:val="1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产品单位净值披露</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产品单位净值为提取相关费用后的单位产品净值。产品单位净值的计算按照四舍五入原则，保留至小数点后4位。2.在本产品存续期内，每周四公布前一个自然日产品单位净值，如遇中国大陆法定休假日则顺延至下一个工作日。3.本产品到期，根据到期日产品单位净值计算客户到期金额。</w:t>
            </w:r>
          </w:p>
        </w:tc>
        <w:tc>
          <w:tcPr>
     </w:tcPr>
          <w:p>
            <w:pPr>
              <w:pStyle w:val="EMPTY_CELL_STYLE"/>
            </w:pPr>
          </w:p>
        </w:tc>
      </w:tr>
      <w:tr>
        <w:trPr>
          <w:trHeight w:hRule="exact" w:val="40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产品管理人</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3"/>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3  主要财务指标和产品净值表现</w:t>
            </w:r>
          </w:p>
        </w:tc>
        <w:tc>
          <w:tcPr>
     </w:tcPr>
          <w:p>
            <w:pPr>
              <w:pStyle w:val="EMPTY_CELL_STYLE"/>
            </w:pPr>
          </w:p>
        </w:tc>
      </w:tr>
      <w:tr>
        <w:trPr>
          <w:trHeight w:hRule="exact" w:val="44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3.1 主要财务指标</w:t>
            </w:r>
          </w:p>
        </w:tc>
        <w:tc>
          <w:tcPr>
            <w:gridSpan w:val="2"/>
            <w:tcMar>
              <w:top w:w="0" w:type="dxa"/>
              <w:left w:w="0" w:type="dxa"/>
              <w:bottom w:w="0" w:type="dxa"/>
              <w:right w:w="0" w:type="dxa"/>
            </w:tcMar>
            <w:vAlign w:val="center"/>
          </w:tcPr>
          <w:p>
            <w:pPr>
              <w:ind/>
              <w:jc w:val="right"/>
              <w:spacing w:lineRule="auto" w:line="360" w:after="0" w:before="0"/>
            </w:pPr>
            <w:r>
              <w:rPr>
                <w:rFonts w:ascii="原版宋体" w:hAnsi="原版宋体" w:eastAsia="原版宋体" w:cs="原版宋体"/>
                <w:color w:val="000000"/>
                <w:sz w:val="20"/>
              </w:rPr>
              <w:t xml:space="preserve">（单位：元）</w:t>
            </w: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主要财务指标</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报告期（2021年07月01日-2021年09月30日）</w:t>
            </w:r>
          </w:p>
        </w:tc>
        <w:tc>
          <w:tcPr>
     </w:tcPr>
          <w:p>
            <w:pPr>
              <w:pStyle w:val="EMPTY_CELL_STYLE"/>
            </w:pPr>
          </w:p>
        </w:tc>
      </w:tr>
      <w:tr>
        <w:trPr>
          <w:trHeight w:hRule="exact" w:val="44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1.本期已实现收益</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102,532.44</w:t>
            </w:r>
          </w:p>
        </w:tc>
        <w:tc>
          <w:tcPr>
     </w:tcPr>
          <w:p>
            <w:pPr>
              <w:pStyle w:val="EMPTY_CELL_STYLE"/>
            </w:pPr>
          </w:p>
        </w:tc>
      </w:tr>
    </w:tbl>
    <w:tbl>
      <w:tblPr>
        <w:tblLayout w:type="fixed"/>
      </w:tblPr>
      <w:tblGrid>
        <w:gridCol w:w="1"/>
        <w:gridCol w:w="800"/>
        <w:gridCol w:w="2600"/>
        <w:gridCol w:w="600"/>
        <w:gridCol w:w="20"/>
        <w:gridCol w:w="3380"/>
        <w:gridCol w:w="220"/>
        <w:gridCol w:w="3080"/>
        <w:gridCol w:w="800"/>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2.本期利润</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89,125.39</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3.期末产品资产净值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8,405,897.17</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4.期末产品份额净值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1.011418</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5.期末产品份额累计净值</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1.011418</w:t>
            </w:r>
          </w:p>
        </w:tc>
        <w:tc>
          <w:tcPr>
     </w:tcPr>
          <w:p>
            <w:pPr>
              <w:pStyle w:val="EMPTY_CELL_STYLE"/>
            </w:pPr>
          </w:p>
        </w:tc>
      </w:tr>
      <w:tr>
        <w:trPr>
          <w:trHeight w:hRule="exact" w:val="440"/>
        </w:trPr>
        <w:tc>
          <w:tcPr>
     </w:tcPr>
          <w:p>
            <w:pPr>
              <w:pStyle w:val="EMPTY_CELL_STYLE"/>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 杠杆水平</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134.30%</w:t>
            </w:r>
          </w:p>
        </w:tc>
        <w:tc>
          <w:tcPr>
     </w:tcPr>
          <w:p>
            <w:pPr>
              <w:pStyle w:val="EMPTY_CELL_STYLE"/>
            </w:pPr>
          </w:p>
        </w:tc>
      </w:tr>
      <w:tr>
        <w:trPr>
          <w:trHeight w:hRule="exact" w:val="44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注：所述产品业绩指标不包括持有人认购或交易产品的各项费用，计入费用后实际收益水平要低于所列数字。</w:t>
            </w:r>
          </w:p>
        </w:tc>
        <w:tc>
          <w:tcPr>
     </w:tcPr>
          <w:p>
            <w:pPr>
              <w:pStyle w:val="EMPTY_CELL_STYLE"/>
            </w:pPr>
          </w:p>
        </w:tc>
      </w:tr>
      <w:tr>
        <w:trPr>
          <w:trHeight w:hRule="exact" w:val="6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0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b w:val="true"/>
              </w:rPr>
              <w:t xml:space="preserve">4  投资组合报告</w:t>
            </w: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4.1 报告期末产品资产组合情况</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项目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占产品总资产的比例（%）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固定收益投资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11,269,441.96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99.83%</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11,269,441.96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99.83%</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      非标资产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权益投资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其中：基金</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金融衍生品投资</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买入返售金融资产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其中：买断式回购</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银行存款合计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19,413.61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0.17%</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其他资产</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11,288,855.57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100.00%</w:t>
            </w:r>
          </w:p>
        </w:tc>
        <w:tc>
          <w:tcPr>
     </w:tcPr>
          <w:p>
            <w:pPr>
              <w:pStyle w:val="EMPTY_CELL_STYLE"/>
            </w:pPr>
          </w:p>
        </w:tc>
      </w:tr>
      <w:tr>
        <w:trPr>
          <w:trHeight w:hRule="exact" w:val="8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7"/>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4.2 报告期末按债券品种分类的债券投资组合</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债券品种</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金额（元）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国家债券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央行票据</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金融债券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4,244,462.46</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50.49%</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其中：政策性金融债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4</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企业债券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7,024,979.50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83.57%</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5</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企业短期融资券</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6</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可转债</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7</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其他</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0.00%</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8</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合计</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11,269,441.96</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134.06%</w:t>
            </w:r>
          </w:p>
        </w:tc>
        <w:tc>
          <w:tcPr>
     </w:tcPr>
          <w:p>
            <w:pPr>
              <w:pStyle w:val="EMPTY_CELL_STYLE"/>
            </w:pPr>
          </w:p>
        </w:tc>
      </w:tr>
    </w:tbl>
    <w:tbl>
      <w:tblPr>
        <w:tblLayout w:type="fixed"/>
      </w:tblPr>
      <w:tblGrid>
        <w:gridCol w:w="1"/>
        <w:gridCol w:w="800"/>
        <w:gridCol w:w="1000"/>
        <w:gridCol w:w="1000"/>
        <w:gridCol w:w="400"/>
        <w:gridCol w:w="1800"/>
        <w:gridCol w:w="1600"/>
        <w:gridCol w:w="200"/>
        <w:gridCol w:w="200"/>
        <w:gridCol w:w="1800"/>
        <w:gridCol w:w="200"/>
        <w:gridCol w:w="1700"/>
        <w:gridCol w:w="8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4.3 报告期末按市值占产品资产净值比例大小排名的前十名资产投资明细</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序号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资产代码</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资产名称</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数量</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市值(元)</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占产品资产净值比例（％）</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1921006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19江南农商二级</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785,457.49</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9.34%</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SS175856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21中金G1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764,638.77</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9.10%</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3</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032000690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20晋江建投PPN003</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761,783.31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9.06%</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4</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SS188443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21诚通11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750,000.00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754,916.51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8.98%</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5</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SS175163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20东吴G2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740,000.00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747,728.44</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8.90%</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6</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131800016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18浦口康居GN006</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742,364.71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8.83%</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7</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031800712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18晋江建投PPN002</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732,926.64</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8.72%</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8</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131900002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19浦口康居GN001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732,282.42</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8.71%</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9</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SS175636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21东吴01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724,811.64</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8.62%</w:t>
            </w:r>
          </w:p>
        </w:tc>
        <w:tc>
          <w:tcPr>
     </w:tcPr>
          <w:p>
            <w:pPr>
              <w:pStyle w:val="EMPTY_CELL_STYLE"/>
            </w:pPr>
          </w:p>
        </w:tc>
      </w:tr>
      <w:tr>
        <w:trPr>
          <w:trHeight w:hRule="exact" w:val="6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pPr>
              <w:ind/>
            </w:pPr>
            <w:r>
              <w:rPr>
                <w:rFonts w:ascii="原版宋体" w:hAnsi="原版宋体" w:eastAsia="原版宋体" w:cs="原版宋体"/>
                <w:color w:val="000000"/>
                <w:sz w:val="20"/>
              </w:rPr>
              <w:t xml:space="preserve"> 10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SS163279        </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rPr>
              <w:t xml:space="preserve">20电控01</w:t>
            </w:r>
          </w:p>
        </w:tc>
        <w:tc>
          <w:tcPr>
            <w:gridSpan w:val="3"/>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700,000.00</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40"/>
              <w:jc w:val="right"/>
            </w:pPr>
            <w:r>
              <w:rPr>
                <w:rFonts w:ascii="原版宋体" w:hAnsi="原版宋体" w:eastAsia="原版宋体" w:cs="原版宋体"/>
                <w:color w:val="000000"/>
                <w:sz w:val="20"/>
              </w:rPr>
              <w:t xml:space="preserve">722,066.30</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right="160"/>
              <w:jc w:val="right"/>
            </w:pPr>
            <w:r>
              <w:rPr>
                <w:rFonts w:ascii="原版宋体" w:hAnsi="原版宋体" w:eastAsia="原版宋体" w:cs="原版宋体"/>
                <w:color w:val="000000"/>
                <w:sz w:val="20"/>
              </w:rPr>
              <w:t xml:space="preserve">8.59%</w:t>
            </w:r>
          </w:p>
        </w:tc>
        <w:tc>
          <w:tcPr>
     </w:tcPr>
          <w:p>
            <w:pPr>
              <w:pStyle w:val="EMPTY_CELL_STYLE"/>
            </w:pPr>
          </w:p>
        </w:tc>
      </w:tr>
      <w:tr>
        <w:trPr>
          <w:trHeight w:hRule="exact" w:val="7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4.4 报告期末投资组合流动性风险分析</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流动性资产市值（元）</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产品资产净值（元）</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流动性资产占比（%）</w:t>
            </w:r>
          </w:p>
        </w:tc>
        <w:tc>
          <w:tcPr>
     </w:tcPr>
          <w:p>
            <w:pPr>
              <w:pStyle w:val="EMPTY_CELL_STYLE"/>
            </w:pPr>
          </w:p>
        </w:tc>
      </w:tr>
      <w:tr>
        <w:trPr>
          <w:trHeight w:hRule="exact" w:val="400"/>
        </w:trPr>
        <w:tc>
          <w:tcPr>
     </w:tcPr>
          <w:p>
            <w:pPr>
              <w:pStyle w:val="EMPTY_CELL_STYLE"/>
            </w:pPr>
          </w:p>
        </w:tc>
        <w:tc>
          <w:tcPr>
            <w:gridSpan w:val="4"/>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19,413.61</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8,405,897.17</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0.23%</w:t>
            </w:r>
          </w:p>
        </w:tc>
        <w:tc>
          <w:tcPr>
     </w:tcPr>
          <w:p>
            <w:pPr>
              <w:pStyle w:val="EMPTY_CELL_STYLE"/>
            </w:pPr>
          </w:p>
        </w:tc>
      </w:tr>
      <w:tr>
        <w:trPr>
          <w:trHeight w:hRule="exact" w:val="10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5 投资账户信息</w:t>
            </w:r>
          </w:p>
        </w:tc>
        <w:tc>
          <w:tcPr>
     </w:tcPr>
          <w:p>
            <w:pPr>
              <w:pStyle w:val="EMPTY_CELL_STYLE"/>
            </w:pPr>
          </w:p>
        </w:tc>
      </w:tr>
      <w:tr>
        <w:trPr>
          <w:trHeight w:hRule="exact" w:val="42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b w:val="true"/>
              </w:rPr>
              <w:t xml:space="preserve">序号</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账户类型</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账户名称</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账号</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left"/>
            </w:pPr>
            <w:r>
              <w:rPr>
                <w:rFonts w:ascii="原版宋体" w:hAnsi="原版宋体" w:eastAsia="原版宋体" w:cs="原版宋体"/>
                <w:color w:val="000000"/>
                <w:sz w:val="20"/>
                <w:b w:val="true"/>
              </w:rPr>
              <w:t xml:space="preserve">开户单位</w:t>
            </w:r>
          </w:p>
        </w:tc>
        <w:tc>
          <w:tcPr>
     </w:tcPr>
          <w:p>
            <w:pPr>
              <w:pStyle w:val="EMPTY_CELL_STYLE"/>
            </w:pPr>
          </w:p>
        </w:tc>
      </w:tr>
      <w:tr>
        <w:trPr>
          <w:trHeight w:hRule="exact" w:val="800"/>
        </w:trPr>
        <w:tc>
          <w:tcPr>
     </w:tcPr>
          <w:p>
            <w:pPr>
              <w:pStyle w:val="EMPTY_CELL_STYLE"/>
            </w:pP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1</w:t>
            </w:r>
          </w:p>
        </w:tc>
        <w:tc>
          <w:tcPr>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托管户</w:t>
            </w:r>
          </w:p>
        </w:tc>
        <w:tc>
          <w:tcPr>
            <w:gridSpan w:val="5"/>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南京银行南通分行海安农商银行金蝶封闭式净值型理财产品51期</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0601020000000172</w:t>
            </w:r>
          </w:p>
        </w:tc>
        <w:tc>
          <w:tcPr>
            <w:gridSpan w:val="2"/>
            <w:tcBorders>
              <w:top w:val="single" w:sz="8" w:space="0" w:color="000000"/>
              <w:left w:val="single" w:sz="8" w:space="0" w:color="000000"/>
              <w:bottom w:val="single" w:sz="8" w:space="0" w:color="000000"/>
              <w:right w:val="single" w:sz="8" w:space="0" w:color="000000"/>
            </w:tcBorders>
            <w:tcMar>
              <w:top w:w="0" w:type="dxa"/>
              <w:left w:w="80" w:type="dxa"/>
              <w:bottom w:w="0" w:type="dxa"/>
              <w:right w:w="0" w:type="dxa"/>
            </w:tcMar>
            <w:vAlign w:val="center"/>
          </w:tcPr>
          <w:p>
            <w:pPr>
              <w:ind/>
              <w:jc w:val="center"/>
            </w:pPr>
            <w:r>
              <w:rPr>
                <w:rFonts w:ascii="原版宋体" w:hAnsi="原版宋体" w:eastAsia="原版宋体" w:cs="原版宋体"/>
                <w:color w:val="000000"/>
                <w:sz w:val="20"/>
              </w:rPr>
              <w:t xml:space="preserve">南京银行股份有限公司南通分行</w:t>
            </w:r>
          </w:p>
        </w:tc>
        <w:tc>
          <w:tcPr>
     </w:tcPr>
          <w:p>
            <w:pPr>
              <w:pStyle w:val="EMPTY_CELL_STYLE"/>
            </w:pPr>
          </w:p>
        </w:tc>
      </w:tr>
      <w:tr>
        <w:trPr>
          <w:trHeight w:hRule="exact" w:val="9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1"/>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6 关联交易情况</w:t>
            </w:r>
          </w:p>
        </w:tc>
        <w:tc>
          <w:tcPr>
     </w:tcPr>
          <w:p>
            <w:pPr>
              <w:pStyle w:val="EMPTY_CELL_STYLE"/>
            </w:pPr>
          </w:p>
        </w:tc>
      </w:tr>
      <w:tr>
        <w:trPr>
          <w:trHeight w:hRule="exact" w:val="1400"/>
        </w:trPr>
        <w:tc>
          <w:tcPr>
     </w:tcPr>
          <w:p>
            <w:pPr>
              <w:pStyle w:val="EMPTY_CELL_STYLE"/>
            </w:pPr>
          </w:p>
        </w:tc>
        <w:tc>
          <w:tcPr>
            <w:gridSpan w:val="11"/>
            <w:tcMar>
              <w:top w:w="0" w:type="dxa"/>
              <w:left w:w="80" w:type="dxa"/>
              <w:bottom w:w="0" w:type="dxa"/>
              <w:right w:w="0" w:type="dxa"/>
            </w:tcMar>
            <w:vAlign w:val="top"/>
          </w:tcPr>
          <w:p>
            <w:pPr>
              <w:ind/>
              <w:jc w:val="left"/>
            </w:pPr>
            <w:r>
              <w:rPr>
                <w:rFonts w:ascii="原版宋体" w:hAnsi="原版宋体" w:eastAsia="原版宋体" w:cs="原版宋体"/>
                <w:color w:val="000000"/>
                <w:sz w:val="20"/>
              </w:rPr>
              <w:t xml:space="preserve">无</w:t>
            </w:r>
          </w:p>
        </w:tc>
        <w:tc>
          <w:tcPr>
     </w:tcPr>
          <w:p>
            <w:pPr>
              <w:pStyle w:val="EMPTY_CELL_STYLE"/>
            </w:pPr>
          </w:p>
        </w:tc>
      </w:tr>
    </w:tbl>
    <w:tbl>
      <w:tblPr>
        <w:tblLayout w:type="fixed"/>
      </w:tblPr>
      <w:tblGrid>
        <w:gridCol w:w="1"/>
        <w:gridCol w:w="10700"/>
        <w:gridCol w:w="8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200"/>
        </w:trPr>
        <w:tc>
          <w:tcPr>
     </w:tcPr>
          <w:p>
            <w:pPr>
              <w:pStyle w:val="EMPTY_CELL_STYLE"/>
            </w:pPr>
          </w:p>
        </w:tc>
        <w:tc>
          <w:tcPr>
            <w:tcMar>
              <w:top w:w="0" w:type="dxa"/>
              <w:left w:w="0" w:type="dxa"/>
              <w:bottom w:w="0" w:type="dxa"/>
              <w:right w:w="0" w:type="dxa"/>
            </w:tcMar>
            <w:vAlign w:val="center"/>
          </w:tcPr>
          <w:p>
            <w:pPr>
              <w:ind/>
              <w:spacing w:lineRule="auto" w:line="360" w:after="0" w:before="0"/>
            </w:pPr>
            <w:r>
              <w:rPr>
                <w:rFonts w:ascii="原版宋体" w:hAnsi="原版宋体" w:eastAsia="原版宋体" w:cs="原版宋体"/>
                <w:color w:val="000000"/>
                <w:sz w:val="20"/>
              </w:rPr>
              <w:t xml:space="preserve">    报告期内，产品管理人通过合理安排资产配置结构，保持一定比例的高流动性资产，控制资产久期、杠杆融资比例，管控产品流动性风险。持仓中利率债、同业存单及高等级信用债占比较高，对于关键时点的规模变动和资金面波动都有充足的准备，且融资渠道畅通多元，风险总体可控。</w:t>
            </w:r>
          </w:p>
        </w:tc>
        <w:tc>
          <w:tcPr>
     </w:tcPr>
          <w:p>
            <w:pPr>
              <w:pStyle w:val="EMPTY_CELL_STYLE"/>
            </w:pPr>
          </w:p>
        </w:tc>
      </w:tr>
      <w:tr>
        <w:trPr>
          <w:trHeight w:hRule="exact" w:val="880"/>
        </w:trPr>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spacing w:lineRule="auto" w:line="360" w:after="0" w:before="0"/>
            </w:pPr>
            <w:r>
              <w:rPr>
                <w:rFonts w:ascii="原版宋体" w:hAnsi="原版宋体" w:eastAsia="原版宋体" w:cs="原版宋体"/>
                <w:color w:val="000000"/>
                <w:sz w:val="20"/>
              </w:rPr>
              <w:t xml:space="preserve">    特此公告。</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江苏海安农村商业银行股份有限公司</w:t>
            </w:r>
          </w:p>
        </w:tc>
        <w:tc>
          <w:tcPr>
     </w:tcPr>
          <w:p>
            <w:pPr>
              <w:pStyle w:val="EMPTY_CELL_STYLE"/>
            </w:pPr>
          </w:p>
        </w:tc>
      </w:tr>
      <w:tr>
        <w:trPr>
          <w:trHeight w:hRule="exact" w:val="400"/>
        </w:trPr>
        <w:tc>
          <w:tcPr>
     </w:tcPr>
          <w:p>
            <w:pPr>
              <w:pStyle w:val="EMPTY_CELL_STYLE"/>
            </w:pPr>
          </w:p>
        </w:tc>
        <w:tc>
          <w:tcPr>
            <w:tcMar>
              <w:top w:w="0" w:type="dxa"/>
              <w:left w:w="0" w:type="dxa"/>
              <w:bottom w:w="0" w:type="dxa"/>
              <w:right w:w="0" w:type="dxa"/>
            </w:tcMar>
            <w:vAlign w:val="top"/>
          </w:tcPr>
          <w:p>
            <w:pPr>
              <w:ind/>
              <w:jc w:val="right"/>
              <w:spacing w:lineRule="auto" w:line="360" w:after="0" w:before="0"/>
            </w:pPr>
            <w:r>
              <w:rPr>
                <w:rFonts w:ascii="原版宋体" w:hAnsi="原版宋体" w:eastAsia="原版宋体" w:cs="原版宋体"/>
                <w:color w:val="000000"/>
                <w:sz w:val="20"/>
              </w:rPr>
              <w:t xml:space="preserve">2021年09月30日</w:t>
            </w:r>
          </w:p>
        </w:tc>
        <w:tc>
          <w:tcPr>
     </w:tcPr>
          <w:p>
            <w:pPr>
              <w:pStyle w:val="EMPTY_CELL_STYLE"/>
            </w:pPr>
          </w:p>
        </w:tc>
      </w:tr>
    </w:tbl>
    <w:sectPr>
      <w:pgSz w:w="13900" w:h="16840" w:orient="portrait" w:code="2537"/>
      <w:pgMar w:top="800" w:right="1200" w:bottom="440" w:left="120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6.4.3</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