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400"/>
        <w:gridCol w:w="200"/>
        <w:gridCol w:w="7100"/>
        <w:gridCol w:w="80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800"/>
        </w:trPr>
        <w:tc>
          <w:tcPr>
     </w:tcPr>
          <w:p>
            <w:pPr>
              <w:pStyle w:val="EMPTY_CELL_STYLE"/>
            </w:pPr>
          </w:p>
        </w:tc>
        <w:tc>
          <w:tcPr>
            <w:gridSpan w:val="3"/>
            <w:tcMar>
              <w:top w:w="0" w:type="dxa"/>
              <w:left w:w="0" w:type="dxa"/>
              <w:bottom w:w="0" w:type="dxa"/>
              <w:right w:w="0" w:type="dxa"/>
            </w:tcMar>
            <w:vAlign w:val="center"/>
          </w:tcPr>
          <w:p>
            <w:pPr>
              <w:ind/>
              <w:jc w:val="center"/>
              <w:spacing w:lineRule="auto" w:line="240" w:after="0" w:before="0"/>
            </w:pPr>
            <w:r>
              <w:rPr>
                <w:rFonts w:ascii="原版宋体" w:hAnsi="原版宋体" w:eastAsia="原版宋体" w:cs="原版宋体"/>
                <w:color w:val="000000"/>
                <w:sz w:val="40"/>
                <w:b w:val="true"/>
              </w:rPr>
              <w:t xml:space="preserve">“金蝶封闭式净值型50期”季度报告</w:t>
            </w: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产品管理人：江苏海安农村商业银行股份有限公司</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产品托管人：南京银行股份有限公司</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发布时间：2021年09月30日</w:t>
            </w: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b w:val="true"/>
              </w:rPr>
              <w:t xml:space="preserve">1  重要提示</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    本报告中财务资料未经审计。</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    本报告期自2021年07月01日起至09月30日止。</w:t>
            </w: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3"/>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b w:val="true"/>
              </w:rPr>
              <w:t xml:space="preserve">2  产品概况</w:t>
            </w:r>
          </w:p>
        </w:tc>
        <w:tc>
          <w:tcPr>
     </w:tcPr>
          <w:p>
            <w:pPr>
              <w:pStyle w:val="EMPTY_CELL_STYLE"/>
            </w:pPr>
          </w:p>
        </w:tc>
      </w:tr>
      <w:tr>
        <w:trPr>
          <w:trHeight w:hRule="exact" w:val="8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产品名称</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金蝶封闭式净值型50期</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产品编码</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JDFB20210616</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全国银行业理财信息登记系统编码</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C1152521000076</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产品运作方式</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封闭式净值型</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产品类型</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固定收益类</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募集方式</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公募</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报告期末产品份额总额</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7,939,000.00</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业绩比较基准</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3.7800%-3.7800%</w:t>
            </w:r>
          </w:p>
        </w:tc>
        <w:tc>
          <w:tcPr>
     </w:tcPr>
          <w:p>
            <w:pPr>
              <w:pStyle w:val="EMPTY_CELL_STYLE"/>
            </w:pPr>
          </w:p>
        </w:tc>
      </w:tr>
      <w:tr>
        <w:trPr>
          <w:trHeight w:hRule="exact" w:val="1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产品单位净值披露</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产品管理人</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江苏海安农村商业银行股份有限公司</w:t>
            </w:r>
          </w:p>
        </w:tc>
        <w:tc>
          <w:tcPr>
     </w:tcPr>
          <w:p>
            <w:pPr>
              <w:pStyle w:val="EMPTY_CELL_STYLE"/>
            </w:pPr>
          </w:p>
        </w:tc>
      </w:tr>
      <w:tr>
        <w:trPr>
          <w:trHeight w:hRule="exact" w:val="8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3"/>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b w:val="true"/>
              </w:rPr>
              <w:t xml:space="preserve">3  主要财务指标和产品净值表现</w:t>
            </w:r>
          </w:p>
        </w:tc>
        <w:tc>
          <w:tcPr>
     </w:tcPr>
          <w:p>
            <w:pPr>
              <w:pStyle w:val="EMPTY_CELL_STYLE"/>
            </w:pPr>
          </w:p>
        </w:tc>
      </w:tr>
      <w:tr>
        <w:trPr>
          <w:trHeight w:hRule="exact" w:val="440"/>
        </w:trPr>
        <w:tc>
          <w:tcPr>
     </w:tcPr>
          <w:p>
            <w:pPr>
              <w:pStyle w:val="EMPTY_CELL_STYLE"/>
            </w:pPr>
          </w:p>
        </w:tc>
        <w:tc>
          <w:tcPr>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3.1 主要财务指标</w:t>
            </w:r>
          </w:p>
        </w:tc>
        <w:tc>
          <w:tcPr>
            <w:gridSpan w:val="2"/>
            <w:tcMar>
              <w:top w:w="0" w:type="dxa"/>
              <w:left w:w="0" w:type="dxa"/>
              <w:bottom w:w="0" w:type="dxa"/>
              <w:right w:w="0" w:type="dxa"/>
            </w:tcMar>
            <w:vAlign w:val="center"/>
          </w:tcPr>
          <w:p>
            <w:pPr>
              <w:ind/>
              <w:jc w:val="right"/>
              <w:spacing w:lineRule="auto" w:line="360" w:after="0" w:before="0"/>
            </w:pPr>
            <w:r>
              <w:rPr>
                <w:rFonts w:ascii="原版宋体" w:hAnsi="原版宋体" w:eastAsia="原版宋体" w:cs="原版宋体"/>
                <w:color w:val="000000"/>
                <w:sz w:val="20"/>
              </w:rPr>
              <w:t xml:space="preserve">（单位：元）</w:t>
            </w: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4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主要财务指标</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报告期（2021年07月01日-2021年09月30日）</w:t>
            </w:r>
          </w:p>
        </w:tc>
        <w:tc>
          <w:tcPr>
     </w:tcPr>
          <w:p>
            <w:pPr>
              <w:pStyle w:val="EMPTY_CELL_STYLE"/>
            </w:pPr>
          </w:p>
        </w:tc>
      </w:tr>
      <w:tr>
        <w:trPr>
          <w:trHeight w:hRule="exact" w:val="44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1.本期已实现收益</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93,189.35</w:t>
            </w:r>
          </w:p>
        </w:tc>
        <w:tc>
          <w:tcPr>
     </w:tcPr>
          <w:p>
            <w:pPr>
              <w:pStyle w:val="EMPTY_CELL_STYLE"/>
            </w:pPr>
          </w:p>
        </w:tc>
      </w:tr>
    </w:tbl>
    <w:tbl>
      <w:tblPr>
        <w:tblLayout w:type="fixed"/>
      </w:tblPr>
      <w:tblGrid>
        <w:gridCol w:w="1"/>
        <w:gridCol w:w="800"/>
        <w:gridCol w:w="2600"/>
        <w:gridCol w:w="600"/>
        <w:gridCol w:w="20"/>
        <w:gridCol w:w="3380"/>
        <w:gridCol w:w="220"/>
        <w:gridCol w:w="3080"/>
        <w:gridCol w:w="800"/>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2.本期利润</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94,296.85</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3.期末产品资产净值</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8,040,138.08</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4.期末产品份额净值</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1.012739</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5.期末产品份额累计净值</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1.012739</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 杠杆水平</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130.39%</w:t>
            </w:r>
          </w:p>
        </w:tc>
        <w:tc>
          <w:tcPr>
     </w:tcPr>
          <w:p>
            <w:pPr>
              <w:pStyle w:val="EMPTY_CELL_STYLE"/>
            </w:pPr>
          </w:p>
        </w:tc>
      </w:tr>
      <w:tr>
        <w:trPr>
          <w:trHeight w:hRule="exact" w:val="44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Pr>
          <w:p>
            <w:pPr>
              <w:pStyle w:val="EMPTY_CELL_STYLE"/>
            </w:pPr>
          </w:p>
        </w:tc>
      </w:tr>
      <w:tr>
        <w:trPr>
          <w:trHeight w:hRule="exact" w:val="6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b w:val="true"/>
              </w:rPr>
              <w:t xml:space="preserve">4  投资组合报告</w:t>
            </w:r>
          </w:p>
        </w:tc>
        <w:tc>
          <w:tcPr>
     </w:tcPr>
          <w:p>
            <w:pPr>
              <w:pStyle w:val="EMPTY_CELL_STYLE"/>
            </w:pPr>
          </w:p>
        </w:tc>
      </w:tr>
      <w:tr>
        <w:trPr>
          <w:trHeight w:hRule="exact" w:val="42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4.1 报告期末产品资产组合情况</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序号</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项目</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金额（元）</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占产品总资产的比例（%）</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固定收益投资</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10,472,809.75</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99.90%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10,472,809.75</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99.90%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      非标资产</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权益投资</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其中：基金</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金融衍生品投资</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4</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买入返售金融资产</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其中：买断式回购</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5</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银行存款合计</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10,362.68</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0.10%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其他资产</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7</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合计</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10,483,172.43</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100.00%</w:t>
            </w:r>
          </w:p>
        </w:tc>
        <w:tc>
          <w:tcPr>
     </w:tcPr>
          <w:p>
            <w:pPr>
              <w:pStyle w:val="EMPTY_CELL_STYLE"/>
            </w:pPr>
          </w:p>
        </w:tc>
      </w:tr>
      <w:tr>
        <w:trPr>
          <w:trHeight w:hRule="exact" w:val="8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4.2 报告期末按债券品种分类的债券投资组合</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序号</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债券品种</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金额（元）</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占产品资产净值比例（％）</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国家债券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央行票据</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金融债券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3,995,732.85</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49.70%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其中：政策性金融债</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4</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企业债券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6,477,076.90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80.56%</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5</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企业短期融资券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可转债</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7</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其他</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8</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合计</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10,472,809.75</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130.26%</w:t>
            </w:r>
          </w:p>
        </w:tc>
        <w:tc>
          <w:tcPr>
     </w:tcPr>
          <w:p>
            <w:pPr>
              <w:pStyle w:val="EMPTY_CELL_STYLE"/>
            </w:pPr>
          </w:p>
        </w:tc>
      </w:tr>
    </w:tbl>
    <w:tbl>
      <w:tblPr>
        <w:tblLayout w:type="fixed"/>
      </w:tblPr>
      <w:tblGrid>
        <w:gridCol w:w="1"/>
        <w:gridCol w:w="800"/>
        <w:gridCol w:w="1000"/>
        <w:gridCol w:w="1000"/>
        <w:gridCol w:w="400"/>
        <w:gridCol w:w="1800"/>
        <w:gridCol w:w="1600"/>
        <w:gridCol w:w="200"/>
        <w:gridCol w:w="200"/>
        <w:gridCol w:w="1800"/>
        <w:gridCol w:w="200"/>
        <w:gridCol w:w="1700"/>
        <w:gridCol w:w="8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4.3 报告期末按市值占产品资产净值比例大小排名的前十名资产投资明细</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序号</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资产代码</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资产名称</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数量</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市值(元)</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b w:val="true"/>
              </w:rPr>
              <w:t xml:space="preserve">占产品资产净值比例（％）</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1</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SS175163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20东吴G2</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710,000.00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717,415.12</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8.92%</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2</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SS188127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21国君G3</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714,462.77</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8.89%</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3</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SS175856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21中金G1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713,662.85</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8.88%</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4</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SS188091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21扬州01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713,362.33</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8.87%</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5</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SS163279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20电控01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690,000.00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711,751.07</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8.85%</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6</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032000690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20晋江建投PPN003</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710,997.76</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8.84%</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7</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SS188443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21诚通11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704,588.74</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8.76%</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8</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131800016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18浦口康居GN006</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600,000.00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636,312.61</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7.91%</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9</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SS175429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20扬州02</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600,000.00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632,825.75</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7.87%</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10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1921006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19江南农商二级</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600,000.00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628,365.99</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7.82%</w:t>
            </w:r>
          </w:p>
        </w:tc>
        <w:tc>
          <w:tcPr>
     </w:tcPr>
          <w:p>
            <w:pPr>
              <w:pStyle w:val="EMPTY_CELL_STYLE"/>
            </w:pPr>
          </w:p>
        </w:tc>
      </w:tr>
      <w:tr>
        <w:trPr>
          <w:trHeight w:hRule="exact" w:val="7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4.4 报告期末投资组合流动性风险分析</w:t>
            </w:r>
          </w:p>
        </w:tc>
        <w:tc>
          <w:tcPr>
     </w:tcPr>
          <w:p>
            <w:pPr>
              <w:pStyle w:val="EMPTY_CELL_STYLE"/>
            </w:pPr>
          </w:p>
        </w:tc>
      </w:tr>
      <w:tr>
        <w:trPr>
          <w:trHeight w:hRule="exact" w:val="400"/>
        </w:trPr>
        <w:tc>
          <w:tcPr>
     </w:tcPr>
          <w:p>
            <w:pPr>
              <w:pStyle w:val="EMPTY_CELL_STYLE"/>
            </w:pPr>
          </w:p>
        </w:tc>
        <w:tc>
          <w:tcPr>
            <w:gridSpan w:val="4"/>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流动性资产市值（元）</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产品资产净值（元）</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流动性资产占比（%）</w:t>
            </w:r>
          </w:p>
        </w:tc>
        <w:tc>
          <w:tcPr>
     </w:tcPr>
          <w:p>
            <w:pPr>
              <w:pStyle w:val="EMPTY_CELL_STYLE"/>
            </w:pPr>
          </w:p>
        </w:tc>
      </w:tr>
      <w:tr>
        <w:trPr>
          <w:trHeight w:hRule="exact" w:val="400"/>
        </w:trPr>
        <w:tc>
          <w:tcPr>
     </w:tcPr>
          <w:p>
            <w:pPr>
              <w:pStyle w:val="EMPTY_CELL_STYLE"/>
            </w:pPr>
          </w:p>
        </w:tc>
        <w:tc>
          <w:tcPr>
            <w:gridSpan w:val="4"/>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10,362.68</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8,040,138.08</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0.13%</w:t>
            </w:r>
          </w:p>
        </w:tc>
        <w:tc>
          <w:tcPr>
     </w:tcPr>
          <w:p>
            <w:pPr>
              <w:pStyle w:val="EMPTY_CELL_STYLE"/>
            </w:pPr>
          </w:p>
        </w:tc>
      </w:tr>
      <w:tr>
        <w:trPr>
          <w:trHeight w:hRule="exact" w:val="10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5 投资账户信息</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b w:val="true"/>
              </w:rPr>
              <w:t xml:space="preserve">序号</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账户类型</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账户名称</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账号</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开户单位</w:t>
            </w:r>
          </w:p>
        </w:tc>
        <w:tc>
          <w:tcPr>
     </w:tcPr>
          <w:p>
            <w:pPr>
              <w:pStyle w:val="EMPTY_CELL_STYLE"/>
            </w:pPr>
          </w:p>
        </w:tc>
      </w:tr>
      <w:tr>
        <w:trPr>
          <w:trHeight w:hRule="exact" w:val="8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1</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托管户</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南京银行南通分行海安农商银行金蝶封闭式净值型理财产品50期</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0601020000000171</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南京银行股份有限公司南通分行</w:t>
            </w:r>
          </w:p>
        </w:tc>
        <w:tc>
          <w:tcPr>
     </w:tcPr>
          <w:p>
            <w:pPr>
              <w:pStyle w:val="EMPTY_CELL_STYLE"/>
            </w:pPr>
          </w:p>
        </w:tc>
      </w:tr>
      <w:tr>
        <w:trPr>
          <w:trHeight w:hRule="exact" w:val="9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6 关联交易情况</w:t>
            </w:r>
          </w:p>
        </w:tc>
        <w:tc>
          <w:tcPr>
     </w:tcPr>
          <w:p>
            <w:pPr>
              <w:pStyle w:val="EMPTY_CELL_STYLE"/>
            </w:pPr>
          </w:p>
        </w:tc>
      </w:tr>
      <w:tr>
        <w:trPr>
          <w:trHeight w:hRule="exact" w:val="1400"/>
        </w:trPr>
        <w:tc>
          <w:tcPr>
     </w:tcPr>
          <w:p>
            <w:pPr>
              <w:pStyle w:val="EMPTY_CELL_STYLE"/>
            </w:pPr>
          </w:p>
        </w:tc>
        <w:tc>
          <w:tcPr>
            <w:gridSpan w:val="11"/>
            <w:tcMar>
              <w:top w:w="0" w:type="dxa"/>
              <w:left w:w="80" w:type="dxa"/>
              <w:bottom w:w="0" w:type="dxa"/>
              <w:right w:w="0" w:type="dxa"/>
            </w:tcMar>
            <w:vAlign w:val="top"/>
          </w:tcPr>
          <w:p>
            <w:pPr>
              <w:ind/>
              <w:jc w:val="left"/>
            </w:pPr>
            <w:r>
              <w:rPr>
                <w:rFonts w:ascii="原版宋体" w:hAnsi="原版宋体" w:eastAsia="原版宋体" w:cs="原版宋体"/>
                <w:color w:val="000000"/>
                <w:sz w:val="20"/>
              </w:rPr>
              <w:t xml:space="preserve">无</w:t>
            </w:r>
          </w:p>
        </w:tc>
        <w:tc>
          <w:tcPr>
     </w:tcPr>
          <w:p>
            <w:pPr>
              <w:pStyle w:val="EMPTY_CELL_STYLE"/>
            </w:pPr>
          </w:p>
        </w:tc>
      </w:tr>
    </w:tbl>
    <w:tbl>
      <w:tblPr>
        <w:tblLayout w:type="fixed"/>
      </w:tblPr>
      <w:tblGrid>
        <w:gridCol w:w="1"/>
        <w:gridCol w:w="10700"/>
        <w:gridCol w:w="8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200"/>
        </w:trPr>
        <w:tc>
          <w:tcPr>
     </w:tcPr>
          <w:p>
            <w:pPr>
              <w:pStyle w:val="EMPTY_CELL_STYLE"/>
            </w:pPr>
          </w:p>
        </w:tc>
        <w:tc>
          <w:tcPr>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同业存单及高等级信用债占比较高，对于关键时点的规模变动和资金面波动都有充足的准备，且融资渠道畅通多元，风险总体可控。</w:t>
            </w:r>
          </w:p>
        </w:tc>
        <w:tc>
          <w:tcPr>
     </w:tcPr>
          <w:p>
            <w:pPr>
              <w:pStyle w:val="EMPTY_CELL_STYLE"/>
            </w:pPr>
          </w:p>
        </w:tc>
      </w:tr>
      <w:tr>
        <w:trPr>
          <w:trHeight w:hRule="exact" w:val="880"/>
        </w:trPr>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Mar>
              <w:top w:w="0" w:type="dxa"/>
              <w:left w:w="0" w:type="dxa"/>
              <w:bottom w:w="0" w:type="dxa"/>
              <w:right w:w="0" w:type="dxa"/>
            </w:tcMar>
            <w:vAlign w:val="top"/>
          </w:tcPr>
          <w:p>
            <w:pPr>
              <w:ind/>
              <w:spacing w:lineRule="auto" w:line="360" w:after="0" w:before="0"/>
            </w:pPr>
            <w:r>
              <w:rPr>
                <w:rFonts w:ascii="原版宋体" w:hAnsi="原版宋体" w:eastAsia="原版宋体" w:cs="原版宋体"/>
                <w:color w:val="000000"/>
                <w:sz w:val="20"/>
              </w:rPr>
              <w:t xml:space="preserve">    特此公告。</w:t>
            </w:r>
          </w:p>
        </w:tc>
        <w:tc>
          <w:tcPr>
     </w:tcPr>
          <w:p>
            <w:pPr>
              <w:pStyle w:val="EMPTY_CELL_STYLE"/>
            </w:pPr>
          </w:p>
        </w:tc>
      </w:tr>
      <w:tr>
        <w:trPr>
          <w:trHeight w:hRule="exact" w:val="400"/>
        </w:trPr>
        <w:tc>
          <w:tcPr>
     </w:tcPr>
          <w:p>
            <w:pPr>
              <w:pStyle w:val="EMPTY_CELL_STYLE"/>
            </w:pPr>
          </w:p>
        </w:tc>
        <w:tc>
          <w:tcPr>
            <w:tcMar>
              <w:top w:w="0" w:type="dxa"/>
              <w:left w:w="0" w:type="dxa"/>
              <w:bottom w:w="0" w:type="dxa"/>
              <w:right w:w="0" w:type="dxa"/>
            </w:tcMar>
            <w:vAlign w:val="top"/>
          </w:tcPr>
          <w:p>
            <w:pPr>
              <w:ind/>
              <w:jc w:val="right"/>
              <w:spacing w:lineRule="auto" w:line="360" w:after="0" w:before="0"/>
            </w:pPr>
            <w:r>
              <w:rPr>
                <w:rFonts w:ascii="原版宋体" w:hAnsi="原版宋体" w:eastAsia="原版宋体" w:cs="原版宋体"/>
                <w:color w:val="000000"/>
                <w:sz w:val="20"/>
              </w:rPr>
              <w:t xml:space="preserve">江苏海安农村商业银行股份有限公司</w:t>
            </w:r>
          </w:p>
        </w:tc>
        <w:tc>
          <w:tcPr>
     </w:tcPr>
          <w:p>
            <w:pPr>
              <w:pStyle w:val="EMPTY_CELL_STYLE"/>
            </w:pPr>
          </w:p>
        </w:tc>
      </w:tr>
      <w:tr>
        <w:trPr>
          <w:trHeight w:hRule="exact" w:val="400"/>
        </w:trPr>
        <w:tc>
          <w:tcPr>
     </w:tcPr>
          <w:p>
            <w:pPr>
              <w:pStyle w:val="EMPTY_CELL_STYLE"/>
            </w:pPr>
          </w:p>
        </w:tc>
        <w:tc>
          <w:tcPr>
            <w:tcMar>
              <w:top w:w="0" w:type="dxa"/>
              <w:left w:w="0" w:type="dxa"/>
              <w:bottom w:w="0" w:type="dxa"/>
              <w:right w:w="0" w:type="dxa"/>
            </w:tcMar>
            <w:vAlign w:val="top"/>
          </w:tcPr>
          <w:p>
            <w:pPr>
              <w:ind/>
              <w:jc w:val="right"/>
              <w:spacing w:lineRule="auto" w:line="360" w:after="0" w:before="0"/>
            </w:pPr>
            <w:r>
              <w:rPr>
                <w:rFonts w:ascii="原版宋体" w:hAnsi="原版宋体" w:eastAsia="原版宋体" w:cs="原版宋体"/>
                <w:color w:val="000000"/>
                <w:sz w:val="20"/>
              </w:rPr>
              <w:t xml:space="preserve">2021年09月30日</w:t>
            </w:r>
          </w:p>
        </w:tc>
        <w:tc>
          <w:tcPr>
     </w:tcPr>
          <w:p>
            <w:pPr>
              <w:pStyle w:val="EMPTY_CELL_STYLE"/>
            </w:pPr>
          </w:p>
        </w:tc>
      </w:tr>
    </w:tbl>
    <w:sectPr>
      <w:pgSz w:w="13900" w:h="16840" w:orient="portrait" w:code="2537"/>
      <w:pgMar w:top="800" w:right="1200" w:bottom="440" w:left="120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6.4.3</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